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26DCB" w14:textId="77777777" w:rsidR="003B4675" w:rsidRPr="00F21859" w:rsidRDefault="00000000" w:rsidP="00C267FD">
      <w:pPr>
        <w:spacing w:after="20"/>
        <w:jc w:val="center"/>
        <w:rPr>
          <w:rFonts w:ascii="Tahoma" w:hAnsi="Tahoma" w:cs="Tahoma"/>
          <w:i/>
          <w:sz w:val="28"/>
          <w:szCs w:val="28"/>
        </w:rPr>
      </w:pPr>
      <w:bookmarkStart w:id="0" w:name="_Toc125170279"/>
      <w:r>
        <w:rPr>
          <w:rFonts w:ascii="Tahoma" w:hAnsi="Tahoma" w:cs="Tahoma"/>
          <w:i/>
          <w:sz w:val="28"/>
          <w:szCs w:val="28"/>
        </w:rPr>
        <w:t>Contrat de Licence et de Distribution Microsoft soumis à Redevances pour ISV</w:t>
      </w:r>
      <w:bookmarkEnd w:id="0"/>
    </w:p>
    <w:p w14:paraId="141AB42E" w14:textId="77777777" w:rsidR="00854134" w:rsidRPr="00F21859" w:rsidRDefault="00000000" w:rsidP="00C267FD">
      <w:pPr>
        <w:spacing w:before="240" w:after="240"/>
        <w:jc w:val="center"/>
        <w:rPr>
          <w:rFonts w:ascii="Tahoma" w:hAnsi="Tahoma" w:cs="Tahoma"/>
          <w:b/>
          <w:i/>
          <w:sz w:val="32"/>
          <w:szCs w:val="32"/>
        </w:rPr>
      </w:pPr>
      <w:r>
        <w:rPr>
          <w:rFonts w:ascii="Tahoma" w:hAnsi="Tahoma" w:cs="Tahoma"/>
          <w:b/>
          <w:i/>
          <w:sz w:val="32"/>
          <w:szCs w:val="32"/>
        </w:rPr>
        <w:t>LISTE DES PRODUITS POUR ISV</w:t>
      </w:r>
    </w:p>
    <w:p w14:paraId="5F7EFB5C" w14:textId="77777777" w:rsidR="00F673DB" w:rsidRPr="00F21859" w:rsidRDefault="00000000" w:rsidP="008E2012">
      <w:pPr>
        <w:pStyle w:val="Firstpara"/>
        <w:ind w:left="0"/>
        <w:rPr>
          <w:rFonts w:ascii="Tahoma" w:hAnsi="Tahoma" w:cs="Tahoma"/>
        </w:rPr>
      </w:pPr>
      <w:r>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57DF089" w14:textId="77777777" w:rsidR="009F731B" w:rsidRPr="001502EC" w:rsidRDefault="009F731B" w:rsidP="001502EC">
      <w:pPr>
        <w:pStyle w:val="Firstpara"/>
        <w:ind w:left="0"/>
        <w:rPr>
          <w:rFonts w:ascii="Tahoma" w:hAnsi="Tahoma" w:cs="Tahoma"/>
        </w:rPr>
      </w:pPr>
    </w:p>
    <w:p w14:paraId="6B8171C3" w14:textId="77777777" w:rsidR="000E1294" w:rsidRPr="00F21859" w:rsidRDefault="00000000"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Octobre 2024 – Modifications</w:t>
      </w:r>
      <w:r>
        <w:rPr>
          <w:rFonts w:ascii="Tahoma" w:hAnsi="Tahoma" w:cs="Tahoma"/>
          <w:b w:val="0"/>
          <w:color w:val="FF6600"/>
        </w:rPr>
        <w:t xml:space="preserve"> </w:t>
      </w:r>
      <w:r>
        <w:rPr>
          <w:rFonts w:ascii="Tahoma" w:hAnsi="Tahoma" w:cs="Tahoma"/>
          <w:color w:val="FF6600"/>
          <w:sz w:val="24"/>
          <w:szCs w:val="24"/>
        </w:rPr>
        <w:t>apportées à la Liste des Produits pour ISVR</w:t>
      </w:r>
    </w:p>
    <w:p w14:paraId="5FF6364E"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9A3C5D" w14:paraId="1572D121" w14:textId="77777777" w:rsidTr="009A3C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038E40E8" w14:textId="77777777" w:rsidR="000E1294" w:rsidRPr="00F21859" w:rsidRDefault="00000000" w:rsidP="005D5C97">
            <w:pPr>
              <w:jc w:val="center"/>
              <w:rPr>
                <w:rFonts w:ascii="Tahoma" w:hAnsi="Tahoma" w:cs="Tahoma"/>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35CAD59" w14:textId="77777777" w:rsidR="000E1294" w:rsidRPr="00F21859" w:rsidRDefault="00000000"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rPr>
            </w:pPr>
            <w:r>
              <w:rPr>
                <w:rFonts w:ascii="Tahoma" w:hAnsi="Tahoma" w:cs="Tahoma"/>
                <w:color w:val="FFFFFF"/>
              </w:rPr>
              <w:t>Conditions de Licence Microsoft Supprimées</w:t>
            </w:r>
          </w:p>
        </w:tc>
      </w:tr>
      <w:tr w:rsidR="009A3C5D" w14:paraId="1CE071DE" w14:textId="77777777" w:rsidTr="009A3C5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70CD8F64"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Access LTSC 2024</w:t>
            </w:r>
          </w:p>
        </w:tc>
        <w:tc>
          <w:tcPr>
            <w:tcW w:w="5400" w:type="dxa"/>
            <w:tcBorders>
              <w:left w:val="single" w:sz="4" w:space="0" w:color="FFFFFF" w:themeColor="background1"/>
            </w:tcBorders>
            <w:shd w:val="clear" w:color="auto" w:fill="auto"/>
          </w:tcPr>
          <w:p w14:paraId="1902D635"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LTSC 2021</w:t>
            </w:r>
          </w:p>
        </w:tc>
      </w:tr>
      <w:tr w:rsidR="009A3C5D" w14:paraId="72098A35" w14:textId="77777777" w:rsidTr="009A3C5D">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697D177B"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Excel LTSC 2024</w:t>
            </w:r>
          </w:p>
        </w:tc>
        <w:tc>
          <w:tcPr>
            <w:tcW w:w="5400" w:type="dxa"/>
            <w:tcBorders>
              <w:left w:val="single" w:sz="4" w:space="0" w:color="FFFFFF" w:themeColor="background1"/>
            </w:tcBorders>
            <w:shd w:val="clear" w:color="auto" w:fill="auto"/>
          </w:tcPr>
          <w:p w14:paraId="7EFAAE9C"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LTSC 2021</w:t>
            </w:r>
          </w:p>
        </w:tc>
      </w:tr>
      <w:tr w:rsidR="009A3C5D" w14:paraId="180AEF70" w14:textId="77777777" w:rsidTr="009A3C5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7308170D"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Office LTSC Professionnel Plus 2024</w:t>
            </w:r>
          </w:p>
        </w:tc>
        <w:tc>
          <w:tcPr>
            <w:tcW w:w="5400" w:type="dxa"/>
            <w:tcBorders>
              <w:left w:val="single" w:sz="4" w:space="0" w:color="FFFFFF" w:themeColor="background1"/>
            </w:tcBorders>
            <w:shd w:val="clear" w:color="auto" w:fill="auto"/>
          </w:tcPr>
          <w:p w14:paraId="18693B0C"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LTSC Professionnel Plus 2021</w:t>
            </w:r>
          </w:p>
        </w:tc>
      </w:tr>
      <w:tr w:rsidR="009A3C5D" w14:paraId="55BF977A" w14:textId="77777777" w:rsidTr="009A3C5D">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76905860"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Outlook LTSC 2024</w:t>
            </w:r>
          </w:p>
        </w:tc>
        <w:tc>
          <w:tcPr>
            <w:tcW w:w="5400" w:type="dxa"/>
            <w:tcBorders>
              <w:left w:val="single" w:sz="4" w:space="0" w:color="FFFFFF" w:themeColor="background1"/>
            </w:tcBorders>
            <w:shd w:val="clear" w:color="auto" w:fill="auto"/>
          </w:tcPr>
          <w:p w14:paraId="1A9B6006"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LTSC 2021</w:t>
            </w:r>
          </w:p>
        </w:tc>
      </w:tr>
      <w:tr w:rsidR="009A3C5D" w14:paraId="60128C95" w14:textId="77777777" w:rsidTr="009A3C5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3223003C"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PowerPoint LTSC 2024</w:t>
            </w:r>
          </w:p>
        </w:tc>
        <w:tc>
          <w:tcPr>
            <w:tcW w:w="5400" w:type="dxa"/>
            <w:tcBorders>
              <w:left w:val="single" w:sz="4" w:space="0" w:color="FFFFFF" w:themeColor="background1"/>
            </w:tcBorders>
            <w:shd w:val="clear" w:color="auto" w:fill="auto"/>
          </w:tcPr>
          <w:p w14:paraId="03CCBA45"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LTSC 2021</w:t>
            </w:r>
          </w:p>
        </w:tc>
      </w:tr>
      <w:tr w:rsidR="009A3C5D" w14:paraId="5CC860EB" w14:textId="77777777" w:rsidTr="009A3C5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78ED795"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2024 Édition Professionnelle</w:t>
            </w:r>
          </w:p>
        </w:tc>
        <w:tc>
          <w:tcPr>
            <w:tcW w:w="5400" w:type="dxa"/>
            <w:shd w:val="clear" w:color="auto" w:fill="auto"/>
          </w:tcPr>
          <w:p w14:paraId="6DF14A9D"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2021 Édition Professionnelle</w:t>
            </w:r>
          </w:p>
        </w:tc>
      </w:tr>
      <w:tr w:rsidR="009A3C5D" w14:paraId="637F2B48" w14:textId="77777777" w:rsidTr="009A3C5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0E3B0931"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Standard 2024</w:t>
            </w:r>
          </w:p>
        </w:tc>
        <w:tc>
          <w:tcPr>
            <w:tcW w:w="5400" w:type="dxa"/>
            <w:shd w:val="clear" w:color="auto" w:fill="auto"/>
          </w:tcPr>
          <w:p w14:paraId="09DC4CE9" w14:textId="77777777" w:rsidR="00CC128C" w:rsidRPr="005C3DB1" w:rsidRDefault="00000000"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Standard 2021</w:t>
            </w:r>
          </w:p>
        </w:tc>
      </w:tr>
      <w:tr w:rsidR="009A3C5D" w14:paraId="7B988E0E" w14:textId="77777777" w:rsidTr="009A3C5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0AC628B"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Word LTSC 2024</w:t>
            </w:r>
          </w:p>
        </w:tc>
        <w:tc>
          <w:tcPr>
            <w:tcW w:w="5400" w:type="dxa"/>
            <w:shd w:val="clear" w:color="auto" w:fill="auto"/>
          </w:tcPr>
          <w:p w14:paraId="104D2BDE"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Word LTSC 2021</w:t>
            </w:r>
          </w:p>
        </w:tc>
      </w:tr>
    </w:tbl>
    <w:p w14:paraId="268EA7F2" w14:textId="77777777" w:rsidR="000E1294" w:rsidRPr="001502EC" w:rsidRDefault="000E1294" w:rsidP="000E1294">
      <w:pPr>
        <w:pStyle w:val="Firstpara"/>
        <w:spacing w:before="0"/>
        <w:ind w:left="0"/>
        <w:rPr>
          <w:rFonts w:ascii="Tahoma" w:hAnsi="Tahoma" w:cs="Tahoma"/>
        </w:rPr>
      </w:pPr>
    </w:p>
    <w:p w14:paraId="49CDC84E" w14:textId="77777777" w:rsidR="00F038FE" w:rsidRDefault="00000000" w:rsidP="00B942DC">
      <w:pPr>
        <w:tabs>
          <w:tab w:val="left" w:pos="4320"/>
        </w:tabs>
        <w:rPr>
          <w:rFonts w:ascii="Tahoma" w:hAnsi="Tahoma" w:cs="Tahoma"/>
          <w:b/>
          <w:bCs/>
        </w:rPr>
      </w:pPr>
      <w:r>
        <w:br w:type="page"/>
      </w:r>
    </w:p>
    <w:p w14:paraId="768A268F"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9A3C5D" w14:paraId="15F8AEED" w14:textId="77777777" w:rsidTr="00470026">
        <w:trPr>
          <w:trHeight w:val="216"/>
        </w:trPr>
        <w:tc>
          <w:tcPr>
            <w:tcW w:w="6440" w:type="dxa"/>
            <w:vMerge w:val="restart"/>
            <w:tcBorders>
              <w:top w:val="nil"/>
              <w:left w:val="nil"/>
            </w:tcBorders>
            <w:shd w:val="clear" w:color="auto" w:fill="auto"/>
            <w:vAlign w:val="center"/>
          </w:tcPr>
          <w:p w14:paraId="2CF62E11" w14:textId="77777777" w:rsidR="00DE25DE" w:rsidRPr="00F21859" w:rsidRDefault="00000000"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Liste des produits*</w:t>
            </w:r>
          </w:p>
        </w:tc>
        <w:tc>
          <w:tcPr>
            <w:tcW w:w="4320" w:type="dxa"/>
            <w:gridSpan w:val="5"/>
            <w:shd w:val="clear" w:color="auto" w:fill="FBD4B4"/>
          </w:tcPr>
          <w:p w14:paraId="7B520E3A" w14:textId="77777777" w:rsidR="00DE25DE" w:rsidRPr="006147E5" w:rsidRDefault="00000000" w:rsidP="00C267FD">
            <w:pPr>
              <w:jc w:val="right"/>
              <w:rPr>
                <w:rStyle w:val="Hyperlink"/>
                <w:rFonts w:ascii="Tahoma" w:hAnsi="Tahoma" w:cs="Tahoma"/>
                <w:b/>
                <w:bCs/>
                <w:i/>
                <w:iCs/>
                <w:color w:val="auto"/>
                <w:sz w:val="16"/>
                <w:szCs w:val="16"/>
                <w:u w:val="none"/>
                <w:lang w:val="es-MX"/>
              </w:rPr>
            </w:pPr>
            <w:r>
              <w:rPr>
                <w:rFonts w:ascii="Tahoma" w:hAnsi="Tahoma" w:cs="Tahoma"/>
                <w:b/>
                <w:bCs/>
                <w:iCs/>
                <w:color w:val="000000"/>
                <w:sz w:val="16"/>
              </w:rPr>
              <w:t>D) Informations sur la Clé de Produit</w:t>
            </w:r>
          </w:p>
        </w:tc>
      </w:tr>
      <w:tr w:rsidR="009A3C5D" w14:paraId="60C36CB6" w14:textId="77777777" w:rsidTr="00470026">
        <w:trPr>
          <w:trHeight w:val="216"/>
        </w:trPr>
        <w:tc>
          <w:tcPr>
            <w:tcW w:w="6440" w:type="dxa"/>
            <w:vMerge/>
            <w:tcBorders>
              <w:left w:val="nil"/>
            </w:tcBorders>
            <w:shd w:val="clear" w:color="auto" w:fill="auto"/>
          </w:tcPr>
          <w:p w14:paraId="005B6449" w14:textId="77777777" w:rsidR="00DE25DE" w:rsidRPr="006147E5" w:rsidRDefault="00DE25DE" w:rsidP="00C267FD">
            <w:pPr>
              <w:jc w:val="right"/>
              <w:rPr>
                <w:rStyle w:val="Hyperlink"/>
                <w:rFonts w:ascii="Tahoma" w:hAnsi="Tahoma" w:cs="Tahoma"/>
                <w:bCs/>
                <w:i/>
                <w:iCs/>
                <w:color w:val="auto"/>
                <w:sz w:val="16"/>
                <w:szCs w:val="16"/>
                <w:u w:val="none"/>
                <w:lang w:val="es-MX"/>
              </w:rPr>
            </w:pPr>
          </w:p>
        </w:tc>
        <w:tc>
          <w:tcPr>
            <w:tcW w:w="3780" w:type="dxa"/>
            <w:gridSpan w:val="4"/>
            <w:shd w:val="clear" w:color="auto" w:fill="FDE9D9"/>
          </w:tcPr>
          <w:p w14:paraId="4D23021C" w14:textId="77777777" w:rsidR="00DE25DE" w:rsidRPr="006147E5" w:rsidRDefault="00000000" w:rsidP="00C267FD">
            <w:pPr>
              <w:jc w:val="right"/>
              <w:rPr>
                <w:rStyle w:val="Hyperlink"/>
                <w:rFonts w:ascii="Tahoma" w:hAnsi="Tahoma" w:cs="Tahoma"/>
                <w:b/>
                <w:bCs/>
                <w:i/>
                <w:iCs/>
                <w:color w:val="auto"/>
                <w:sz w:val="16"/>
                <w:szCs w:val="16"/>
                <w:u w:val="none"/>
                <w:lang w:val="nl-BE"/>
              </w:rPr>
            </w:pPr>
            <w:r>
              <w:rPr>
                <w:rFonts w:ascii="Tahoma" w:hAnsi="Tahoma" w:cs="Tahoma"/>
                <w:b/>
                <w:bCs/>
                <w:iCs/>
                <w:color w:val="000000"/>
                <w:sz w:val="16"/>
              </w:rPr>
              <w:t>C) Droits de migration de produit</w:t>
            </w:r>
          </w:p>
        </w:tc>
        <w:tc>
          <w:tcPr>
            <w:tcW w:w="540" w:type="dxa"/>
            <w:shd w:val="clear" w:color="auto" w:fill="FBD4B4"/>
          </w:tcPr>
          <w:p w14:paraId="5314D1DA" w14:textId="77777777" w:rsidR="00DE25DE" w:rsidRPr="006147E5" w:rsidRDefault="00DE25DE" w:rsidP="00C267FD">
            <w:pPr>
              <w:jc w:val="right"/>
              <w:rPr>
                <w:rStyle w:val="Hyperlink"/>
                <w:rFonts w:ascii="Tahoma" w:hAnsi="Tahoma" w:cs="Tahoma"/>
                <w:bCs/>
                <w:i/>
                <w:iCs/>
                <w:color w:val="auto"/>
                <w:sz w:val="16"/>
                <w:szCs w:val="16"/>
                <w:u w:val="none"/>
                <w:lang w:val="nl-BE"/>
              </w:rPr>
            </w:pPr>
          </w:p>
        </w:tc>
      </w:tr>
      <w:tr w:rsidR="009A3C5D" w14:paraId="30CC94FB" w14:textId="77777777" w:rsidTr="00470026">
        <w:trPr>
          <w:trHeight w:val="216"/>
        </w:trPr>
        <w:tc>
          <w:tcPr>
            <w:tcW w:w="6440" w:type="dxa"/>
            <w:vMerge/>
            <w:tcBorders>
              <w:left w:val="nil"/>
            </w:tcBorders>
            <w:shd w:val="clear" w:color="auto" w:fill="auto"/>
          </w:tcPr>
          <w:p w14:paraId="442E7E20"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46A95CB4"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630" w:type="dxa"/>
            <w:shd w:val="clear" w:color="auto" w:fill="FDE9D9"/>
          </w:tcPr>
          <w:p w14:paraId="6A563F61"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09CA4BDA"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9A3C5D" w14:paraId="64DF1C46" w14:textId="77777777" w:rsidTr="00470026">
        <w:trPr>
          <w:trHeight w:val="216"/>
        </w:trPr>
        <w:tc>
          <w:tcPr>
            <w:tcW w:w="6440" w:type="dxa"/>
            <w:vMerge/>
            <w:tcBorders>
              <w:left w:val="nil"/>
            </w:tcBorders>
            <w:shd w:val="clear" w:color="auto" w:fill="auto"/>
          </w:tcPr>
          <w:p w14:paraId="337C3029"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3E50599B"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540" w:type="dxa"/>
            <w:shd w:val="clear" w:color="auto" w:fill="FBD4B4"/>
            <w:vAlign w:val="center"/>
          </w:tcPr>
          <w:p w14:paraId="2B8A5871"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756FA550"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5725EC17"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9A3C5D" w14:paraId="2FF69EAD" w14:textId="77777777" w:rsidTr="00470026">
        <w:trPr>
          <w:trHeight w:val="216"/>
        </w:trPr>
        <w:tc>
          <w:tcPr>
            <w:tcW w:w="8488" w:type="dxa"/>
            <w:gridSpan w:val="2"/>
            <w:shd w:val="clear" w:color="auto" w:fill="F79646"/>
            <w:vAlign w:val="center"/>
          </w:tcPr>
          <w:p w14:paraId="5E4C952D" w14:textId="77777777" w:rsidR="00DE25DE" w:rsidRPr="00F21859" w:rsidRDefault="00000000"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 du Produit</w:t>
            </w:r>
          </w:p>
        </w:tc>
        <w:tc>
          <w:tcPr>
            <w:tcW w:w="562" w:type="dxa"/>
            <w:shd w:val="clear" w:color="auto" w:fill="FDE9D9"/>
          </w:tcPr>
          <w:p w14:paraId="3B03C0D4"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1A096AEC"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7657946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18E54E39"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9A3C5D" w14:paraId="7311C675" w14:textId="77777777" w:rsidTr="00470026">
        <w:trPr>
          <w:trHeight w:val="216"/>
        </w:trPr>
        <w:tc>
          <w:tcPr>
            <w:tcW w:w="8488" w:type="dxa"/>
            <w:gridSpan w:val="2"/>
            <w:shd w:val="clear" w:color="auto" w:fill="auto"/>
            <w:vAlign w:val="center"/>
          </w:tcPr>
          <w:p w14:paraId="23320EA4" w14:textId="77777777" w:rsidR="00DE25DE" w:rsidRPr="00F21859" w:rsidRDefault="00000000" w:rsidP="00F77865">
            <w:pPr>
              <w:rPr>
                <w:rFonts w:ascii="Tahoma" w:hAnsi="Tahoma" w:cs="Tahoma"/>
                <w:bCs/>
                <w:sz w:val="16"/>
                <w:szCs w:val="19"/>
              </w:rPr>
            </w:pPr>
            <w:r>
              <w:rPr>
                <w:rFonts w:ascii="Tahoma" w:hAnsi="Tahoma" w:cs="Tahoma"/>
                <w:bCs/>
                <w:sz w:val="16"/>
                <w:szCs w:val="19"/>
              </w:rPr>
              <w:t>Access LTSC 2024</w:t>
            </w:r>
          </w:p>
        </w:tc>
        <w:tc>
          <w:tcPr>
            <w:tcW w:w="562" w:type="dxa"/>
            <w:shd w:val="clear" w:color="auto" w:fill="FDE9D9"/>
          </w:tcPr>
          <w:p w14:paraId="5268817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E3BB4E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397F9B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8543F6C"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6790B890" w14:textId="77777777" w:rsidTr="00470026">
        <w:trPr>
          <w:trHeight w:val="216"/>
        </w:trPr>
        <w:tc>
          <w:tcPr>
            <w:tcW w:w="8488" w:type="dxa"/>
            <w:gridSpan w:val="2"/>
            <w:shd w:val="clear" w:color="auto" w:fill="auto"/>
            <w:vAlign w:val="center"/>
          </w:tcPr>
          <w:p w14:paraId="0BF76780" w14:textId="77777777" w:rsidR="00DE25DE" w:rsidRPr="00F21859" w:rsidRDefault="00000000" w:rsidP="002C7B77">
            <w:pPr>
              <w:rPr>
                <w:rFonts w:ascii="Tahoma" w:hAnsi="Tahoma" w:cs="Tahoma"/>
                <w:bCs/>
                <w:sz w:val="16"/>
                <w:szCs w:val="19"/>
              </w:rPr>
            </w:pPr>
            <w:r>
              <w:rPr>
                <w:rFonts w:ascii="Tahoma" w:hAnsi="Tahoma" w:cs="Tahoma"/>
                <w:bCs/>
                <w:sz w:val="16"/>
                <w:szCs w:val="19"/>
              </w:rPr>
              <w:t>BizTalk Server 2020 Éditions Agence, Standard et Entreprise</w:t>
            </w:r>
          </w:p>
        </w:tc>
        <w:tc>
          <w:tcPr>
            <w:tcW w:w="562" w:type="dxa"/>
            <w:shd w:val="clear" w:color="auto" w:fill="FDE9D9"/>
          </w:tcPr>
          <w:p w14:paraId="2D4A49A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5F96A2F"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C6B5BFA"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5DB4438F" w14:textId="77777777" w:rsidR="00DE25DE" w:rsidRPr="00F21859" w:rsidRDefault="00DE25DE" w:rsidP="00C267FD">
            <w:pPr>
              <w:jc w:val="center"/>
              <w:rPr>
                <w:rStyle w:val="Hyperlink"/>
                <w:rFonts w:ascii="Tahoma" w:hAnsi="Tahoma" w:cs="Tahoma"/>
                <w:bCs/>
                <w:iCs/>
                <w:color w:val="auto"/>
                <w:sz w:val="16"/>
                <w:szCs w:val="16"/>
                <w:u w:val="none"/>
              </w:rPr>
            </w:pPr>
          </w:p>
        </w:tc>
      </w:tr>
      <w:tr w:rsidR="009A3C5D" w14:paraId="24CADF42" w14:textId="77777777" w:rsidTr="00470026">
        <w:trPr>
          <w:trHeight w:val="216"/>
        </w:trPr>
        <w:tc>
          <w:tcPr>
            <w:tcW w:w="8488" w:type="dxa"/>
            <w:gridSpan w:val="2"/>
            <w:shd w:val="clear" w:color="auto" w:fill="auto"/>
            <w:vAlign w:val="center"/>
          </w:tcPr>
          <w:p w14:paraId="36055091"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Édition Entreprise (en Utilisation Limitée à l’Exécution) </w:t>
            </w:r>
          </w:p>
        </w:tc>
        <w:tc>
          <w:tcPr>
            <w:tcW w:w="562" w:type="dxa"/>
            <w:shd w:val="clear" w:color="auto" w:fill="FDE9D9"/>
          </w:tcPr>
          <w:p w14:paraId="04F0A5D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F17EB4D"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3AA9E8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39135D3" w14:textId="77777777" w:rsidR="00DE25DE" w:rsidRPr="00F21859" w:rsidRDefault="00DE25DE" w:rsidP="00C267FD">
            <w:pPr>
              <w:jc w:val="center"/>
              <w:rPr>
                <w:rStyle w:val="Hyperlink"/>
                <w:rFonts w:ascii="Tahoma" w:hAnsi="Tahoma" w:cs="Tahoma"/>
                <w:bCs/>
                <w:iCs/>
                <w:color w:val="auto"/>
                <w:sz w:val="16"/>
                <w:szCs w:val="16"/>
                <w:u w:val="none"/>
              </w:rPr>
            </w:pPr>
          </w:p>
        </w:tc>
      </w:tr>
      <w:tr w:rsidR="009A3C5D" w14:paraId="5A0C164D" w14:textId="77777777" w:rsidTr="00470026">
        <w:trPr>
          <w:trHeight w:val="216"/>
        </w:trPr>
        <w:tc>
          <w:tcPr>
            <w:tcW w:w="8488" w:type="dxa"/>
            <w:gridSpan w:val="2"/>
            <w:shd w:val="clear" w:color="auto" w:fill="auto"/>
            <w:vAlign w:val="center"/>
          </w:tcPr>
          <w:p w14:paraId="15E3A758"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Édition Standard (en Utilisation Limitée à l’Exécution) </w:t>
            </w:r>
          </w:p>
        </w:tc>
        <w:tc>
          <w:tcPr>
            <w:tcW w:w="562" w:type="dxa"/>
            <w:shd w:val="clear" w:color="auto" w:fill="FDE9D9"/>
          </w:tcPr>
          <w:p w14:paraId="59978F9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66B9B26"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92BC2B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EDAC6DE" w14:textId="77777777" w:rsidR="00DE25DE" w:rsidRPr="00F21859" w:rsidRDefault="00DE25DE" w:rsidP="00C267FD">
            <w:pPr>
              <w:jc w:val="center"/>
              <w:rPr>
                <w:rStyle w:val="Hyperlink"/>
                <w:rFonts w:ascii="Tahoma" w:hAnsi="Tahoma" w:cs="Tahoma"/>
                <w:bCs/>
                <w:iCs/>
                <w:color w:val="auto"/>
                <w:sz w:val="16"/>
                <w:szCs w:val="16"/>
                <w:u w:val="none"/>
              </w:rPr>
            </w:pPr>
          </w:p>
        </w:tc>
      </w:tr>
      <w:tr w:rsidR="009A3C5D" w14:paraId="6681AA92" w14:textId="77777777" w:rsidTr="00470026">
        <w:trPr>
          <w:trHeight w:val="216"/>
        </w:trPr>
        <w:tc>
          <w:tcPr>
            <w:tcW w:w="8488" w:type="dxa"/>
            <w:gridSpan w:val="2"/>
            <w:shd w:val="clear" w:color="auto" w:fill="auto"/>
            <w:vAlign w:val="center"/>
          </w:tcPr>
          <w:p w14:paraId="1CC0784B" w14:textId="77777777" w:rsidR="00DE25DE" w:rsidRPr="00F21859" w:rsidRDefault="00000000"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1ED39370"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5CC006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E37A17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73B3C3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9A3C5D" w14:paraId="19C971C0" w14:textId="77777777" w:rsidTr="00470026">
        <w:trPr>
          <w:trHeight w:val="216"/>
        </w:trPr>
        <w:tc>
          <w:tcPr>
            <w:tcW w:w="8488" w:type="dxa"/>
            <w:gridSpan w:val="2"/>
            <w:shd w:val="clear" w:color="auto" w:fill="auto"/>
            <w:vAlign w:val="center"/>
          </w:tcPr>
          <w:p w14:paraId="1779A3C5" w14:textId="77777777" w:rsidR="00DE25DE" w:rsidRPr="00F21859" w:rsidRDefault="00000000" w:rsidP="00F77865">
            <w:pPr>
              <w:rPr>
                <w:rFonts w:ascii="Tahoma" w:hAnsi="Tahoma" w:cs="Tahoma"/>
                <w:bCs/>
                <w:sz w:val="16"/>
                <w:szCs w:val="19"/>
              </w:rPr>
            </w:pPr>
            <w:r>
              <w:rPr>
                <w:rFonts w:ascii="Tahoma" w:hAnsi="Tahoma" w:cs="Tahoma"/>
                <w:bCs/>
                <w:sz w:val="16"/>
                <w:szCs w:val="19"/>
              </w:rPr>
              <w:t>Excel LTSC 2024</w:t>
            </w:r>
          </w:p>
        </w:tc>
        <w:tc>
          <w:tcPr>
            <w:tcW w:w="562" w:type="dxa"/>
            <w:shd w:val="clear" w:color="auto" w:fill="FDE9D9"/>
          </w:tcPr>
          <w:p w14:paraId="308C724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70963C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E460D3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7669E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10241E89" w14:textId="77777777" w:rsidTr="00470026">
        <w:trPr>
          <w:trHeight w:val="216"/>
        </w:trPr>
        <w:tc>
          <w:tcPr>
            <w:tcW w:w="8488" w:type="dxa"/>
            <w:gridSpan w:val="2"/>
            <w:shd w:val="clear" w:color="auto" w:fill="auto"/>
            <w:vAlign w:val="center"/>
          </w:tcPr>
          <w:p w14:paraId="601D9A61" w14:textId="77777777" w:rsidR="00DE25DE" w:rsidRPr="00F21859" w:rsidRDefault="00000000" w:rsidP="00F77865">
            <w:pPr>
              <w:rPr>
                <w:rFonts w:ascii="Tahoma" w:hAnsi="Tahoma" w:cs="Tahoma"/>
                <w:bCs/>
                <w:sz w:val="16"/>
                <w:szCs w:val="19"/>
              </w:rPr>
            </w:pPr>
            <w:r>
              <w:rPr>
                <w:rFonts w:ascii="Tahoma" w:hAnsi="Tahoma" w:cs="Tahoma"/>
                <w:bCs/>
                <w:sz w:val="16"/>
                <w:szCs w:val="19"/>
              </w:rPr>
              <w:t xml:space="preserve">Exchange Server 2019 Standard et Entreprise </w:t>
            </w:r>
          </w:p>
        </w:tc>
        <w:tc>
          <w:tcPr>
            <w:tcW w:w="562" w:type="dxa"/>
            <w:shd w:val="clear" w:color="auto" w:fill="FDE9D9"/>
          </w:tcPr>
          <w:p w14:paraId="6AB86DF4"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05F0700"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89C7148"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4B2884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9A3C5D" w14:paraId="41779A14" w14:textId="77777777" w:rsidTr="005D5C97">
        <w:trPr>
          <w:trHeight w:val="216"/>
        </w:trPr>
        <w:tc>
          <w:tcPr>
            <w:tcW w:w="8488" w:type="dxa"/>
            <w:gridSpan w:val="2"/>
            <w:shd w:val="clear" w:color="auto" w:fill="auto"/>
            <w:vAlign w:val="center"/>
          </w:tcPr>
          <w:p w14:paraId="54B42D75" w14:textId="77777777" w:rsidR="005D5C97" w:rsidRPr="00F21859" w:rsidRDefault="00000000"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1F40CA7B"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13A49685" w14:textId="77777777" w:rsidR="005D5C97" w:rsidRPr="00F21859" w:rsidRDefault="00000000"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C2F2AE2"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288CED48"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9A3C5D" w14:paraId="32C8E52C" w14:textId="77777777" w:rsidTr="00470026">
        <w:trPr>
          <w:trHeight w:val="216"/>
        </w:trPr>
        <w:tc>
          <w:tcPr>
            <w:tcW w:w="8488" w:type="dxa"/>
            <w:gridSpan w:val="2"/>
            <w:shd w:val="clear" w:color="auto" w:fill="auto"/>
            <w:vAlign w:val="center"/>
          </w:tcPr>
          <w:p w14:paraId="245ED094" w14:textId="77777777" w:rsidR="00DE25DE" w:rsidRPr="00F21859" w:rsidRDefault="00000000"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6474730A"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26E2617"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6B829E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22D66AD" w14:textId="77777777" w:rsidR="00DE25DE" w:rsidRPr="00F21859" w:rsidRDefault="00DE25DE" w:rsidP="00C267FD">
            <w:pPr>
              <w:jc w:val="center"/>
              <w:rPr>
                <w:rStyle w:val="Hyperlink"/>
                <w:rFonts w:ascii="Tahoma" w:hAnsi="Tahoma" w:cs="Tahoma"/>
                <w:bCs/>
                <w:iCs/>
                <w:color w:val="auto"/>
                <w:sz w:val="16"/>
                <w:szCs w:val="16"/>
                <w:u w:val="none"/>
              </w:rPr>
            </w:pPr>
          </w:p>
        </w:tc>
      </w:tr>
      <w:tr w:rsidR="009A3C5D" w14:paraId="5383EF6A" w14:textId="77777777" w:rsidTr="00470026">
        <w:trPr>
          <w:trHeight w:val="216"/>
        </w:trPr>
        <w:tc>
          <w:tcPr>
            <w:tcW w:w="8488" w:type="dxa"/>
            <w:gridSpan w:val="2"/>
            <w:shd w:val="clear" w:color="auto" w:fill="auto"/>
            <w:vAlign w:val="center"/>
          </w:tcPr>
          <w:p w14:paraId="600C9928" w14:textId="77777777" w:rsidR="00DE25DE" w:rsidRPr="00F21859" w:rsidRDefault="00000000" w:rsidP="004D2DB5">
            <w:pPr>
              <w:rPr>
                <w:rFonts w:ascii="Tahoma" w:hAnsi="Tahoma" w:cs="Tahoma"/>
                <w:bCs/>
                <w:sz w:val="16"/>
                <w:szCs w:val="19"/>
              </w:rPr>
            </w:pPr>
            <w:r>
              <w:rPr>
                <w:rFonts w:ascii="Tahoma" w:hAnsi="Tahoma" w:cs="Tahoma"/>
                <w:bCs/>
                <w:sz w:val="16"/>
                <w:szCs w:val="19"/>
              </w:rPr>
              <w:t>Pack multilingue Office 2013</w:t>
            </w:r>
          </w:p>
        </w:tc>
        <w:tc>
          <w:tcPr>
            <w:tcW w:w="562" w:type="dxa"/>
            <w:shd w:val="clear" w:color="auto" w:fill="FDE9D9"/>
          </w:tcPr>
          <w:p w14:paraId="5E5C7B0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CE7CFA6"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415D79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4FB9B5C" w14:textId="77777777" w:rsidR="00DE25DE" w:rsidRPr="00F21859" w:rsidRDefault="00DE25DE" w:rsidP="00C267FD">
            <w:pPr>
              <w:jc w:val="center"/>
              <w:rPr>
                <w:rStyle w:val="Hyperlink"/>
                <w:rFonts w:ascii="Tahoma" w:hAnsi="Tahoma" w:cs="Tahoma"/>
                <w:bCs/>
                <w:iCs/>
                <w:color w:val="auto"/>
                <w:sz w:val="16"/>
                <w:szCs w:val="16"/>
                <w:u w:val="none"/>
              </w:rPr>
            </w:pPr>
          </w:p>
        </w:tc>
      </w:tr>
      <w:tr w:rsidR="009A3C5D" w14:paraId="07B91338" w14:textId="77777777" w:rsidTr="00470026">
        <w:trPr>
          <w:trHeight w:val="216"/>
        </w:trPr>
        <w:tc>
          <w:tcPr>
            <w:tcW w:w="8488" w:type="dxa"/>
            <w:gridSpan w:val="2"/>
            <w:shd w:val="clear" w:color="auto" w:fill="auto"/>
            <w:vAlign w:val="center"/>
          </w:tcPr>
          <w:p w14:paraId="07848AEE" w14:textId="77777777" w:rsidR="00DE25DE" w:rsidRPr="00F21859" w:rsidRDefault="00000000" w:rsidP="00F77865">
            <w:pPr>
              <w:rPr>
                <w:rFonts w:ascii="Tahoma" w:hAnsi="Tahoma" w:cs="Tahoma"/>
                <w:bCs/>
                <w:sz w:val="16"/>
                <w:szCs w:val="19"/>
              </w:rPr>
            </w:pPr>
            <w:r>
              <w:rPr>
                <w:rFonts w:ascii="Tahoma" w:hAnsi="Tahoma" w:cs="Tahoma"/>
                <w:bCs/>
                <w:sz w:val="16"/>
                <w:szCs w:val="19"/>
              </w:rPr>
              <w:t>Office LTSC Professionnel Plus 2024</w:t>
            </w:r>
          </w:p>
        </w:tc>
        <w:tc>
          <w:tcPr>
            <w:tcW w:w="562" w:type="dxa"/>
            <w:shd w:val="clear" w:color="auto" w:fill="FDE9D9"/>
          </w:tcPr>
          <w:p w14:paraId="02D282A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0EA673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861461"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1C8999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5F50B8D3" w14:textId="77777777" w:rsidTr="00470026">
        <w:trPr>
          <w:trHeight w:val="216"/>
        </w:trPr>
        <w:tc>
          <w:tcPr>
            <w:tcW w:w="8488" w:type="dxa"/>
            <w:gridSpan w:val="2"/>
            <w:shd w:val="clear" w:color="auto" w:fill="auto"/>
            <w:vAlign w:val="center"/>
          </w:tcPr>
          <w:p w14:paraId="62230B42" w14:textId="77777777" w:rsidR="00DE25DE" w:rsidRPr="00F21859" w:rsidRDefault="00000000" w:rsidP="00F77865">
            <w:pPr>
              <w:rPr>
                <w:rFonts w:ascii="Tahoma" w:hAnsi="Tahoma" w:cs="Tahoma"/>
                <w:bCs/>
                <w:sz w:val="16"/>
                <w:szCs w:val="19"/>
              </w:rPr>
            </w:pPr>
            <w:r>
              <w:rPr>
                <w:rFonts w:ascii="Tahoma" w:hAnsi="Tahoma" w:cs="Tahoma"/>
                <w:bCs/>
                <w:sz w:val="16"/>
                <w:szCs w:val="19"/>
              </w:rPr>
              <w:t>Outlook LTSC 2024</w:t>
            </w:r>
          </w:p>
        </w:tc>
        <w:tc>
          <w:tcPr>
            <w:tcW w:w="562" w:type="dxa"/>
            <w:shd w:val="clear" w:color="auto" w:fill="FDE9D9"/>
          </w:tcPr>
          <w:p w14:paraId="7573D17C"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77386FE4"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4B2962C2"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0DBE79BB"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9A3C5D" w14:paraId="253AB5F9" w14:textId="77777777" w:rsidTr="00470026">
        <w:trPr>
          <w:trHeight w:val="216"/>
        </w:trPr>
        <w:tc>
          <w:tcPr>
            <w:tcW w:w="8488" w:type="dxa"/>
            <w:gridSpan w:val="2"/>
            <w:shd w:val="clear" w:color="auto" w:fill="auto"/>
            <w:vAlign w:val="center"/>
          </w:tcPr>
          <w:p w14:paraId="36CF51D7" w14:textId="77777777" w:rsidR="00DE25DE" w:rsidRPr="00F21859" w:rsidRDefault="00000000" w:rsidP="00F77865">
            <w:pPr>
              <w:rPr>
                <w:rFonts w:ascii="Tahoma" w:hAnsi="Tahoma" w:cs="Tahoma"/>
                <w:bCs/>
                <w:sz w:val="16"/>
                <w:szCs w:val="19"/>
              </w:rPr>
            </w:pPr>
            <w:r>
              <w:rPr>
                <w:rFonts w:ascii="Tahoma" w:hAnsi="Tahoma" w:cs="Tahoma"/>
                <w:bCs/>
                <w:sz w:val="16"/>
                <w:szCs w:val="19"/>
              </w:rPr>
              <w:t>PowerPoint LTSC 2024</w:t>
            </w:r>
          </w:p>
        </w:tc>
        <w:tc>
          <w:tcPr>
            <w:tcW w:w="562" w:type="dxa"/>
            <w:shd w:val="clear" w:color="auto" w:fill="FDE9D9"/>
          </w:tcPr>
          <w:p w14:paraId="4A83811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1FD37D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A53E1B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F06DC3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0C93275A" w14:textId="77777777" w:rsidTr="00470026">
        <w:trPr>
          <w:trHeight w:val="216"/>
        </w:trPr>
        <w:tc>
          <w:tcPr>
            <w:tcW w:w="8488" w:type="dxa"/>
            <w:gridSpan w:val="2"/>
            <w:shd w:val="clear" w:color="auto" w:fill="auto"/>
            <w:vAlign w:val="center"/>
          </w:tcPr>
          <w:p w14:paraId="5863C754" w14:textId="77777777" w:rsidR="00DE25DE" w:rsidRPr="00F21859" w:rsidRDefault="00000000" w:rsidP="00F77865">
            <w:pPr>
              <w:rPr>
                <w:rFonts w:ascii="Tahoma" w:hAnsi="Tahoma" w:cs="Tahoma"/>
                <w:bCs/>
                <w:sz w:val="16"/>
                <w:szCs w:val="19"/>
              </w:rPr>
            </w:pPr>
            <w:r>
              <w:rPr>
                <w:rFonts w:ascii="Tahoma" w:hAnsi="Tahoma" w:cs="Tahoma"/>
                <w:bCs/>
                <w:sz w:val="16"/>
                <w:szCs w:val="19"/>
              </w:rPr>
              <w:t>Project Professionnel 2021</w:t>
            </w:r>
          </w:p>
        </w:tc>
        <w:tc>
          <w:tcPr>
            <w:tcW w:w="562" w:type="dxa"/>
            <w:shd w:val="clear" w:color="auto" w:fill="FDE9D9"/>
          </w:tcPr>
          <w:p w14:paraId="06E2D25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46ACDC07"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7081D2C1"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3F7F2AA1"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9A3C5D" w14:paraId="302A015A" w14:textId="77777777" w:rsidTr="00470026">
        <w:trPr>
          <w:trHeight w:val="216"/>
        </w:trPr>
        <w:tc>
          <w:tcPr>
            <w:tcW w:w="8488" w:type="dxa"/>
            <w:gridSpan w:val="2"/>
            <w:shd w:val="clear" w:color="auto" w:fill="auto"/>
            <w:vAlign w:val="center"/>
          </w:tcPr>
          <w:p w14:paraId="04595867" w14:textId="77777777" w:rsidR="00DE25DE" w:rsidRPr="00F21859" w:rsidRDefault="00000000"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72A11D7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9F3507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662CBF4"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73750F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9A3C5D" w14:paraId="23320448" w14:textId="77777777" w:rsidTr="00470026">
        <w:trPr>
          <w:trHeight w:val="216"/>
        </w:trPr>
        <w:tc>
          <w:tcPr>
            <w:tcW w:w="8488" w:type="dxa"/>
            <w:gridSpan w:val="2"/>
            <w:shd w:val="clear" w:color="auto" w:fill="auto"/>
            <w:vAlign w:val="center"/>
          </w:tcPr>
          <w:p w14:paraId="5682A991" w14:textId="77777777" w:rsidR="00DE25DE" w:rsidRPr="00F21859" w:rsidRDefault="00000000"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6DB011A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16A1A4FC"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52431A4F"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73551C77"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9A3C5D" w14:paraId="6B4B8EC0" w14:textId="77777777" w:rsidTr="00470026">
        <w:trPr>
          <w:trHeight w:val="216"/>
        </w:trPr>
        <w:tc>
          <w:tcPr>
            <w:tcW w:w="8488" w:type="dxa"/>
            <w:gridSpan w:val="2"/>
            <w:shd w:val="clear" w:color="auto" w:fill="auto"/>
            <w:vAlign w:val="center"/>
          </w:tcPr>
          <w:p w14:paraId="50DB0C28" w14:textId="77777777" w:rsidR="00DE25DE" w:rsidRPr="00F21859" w:rsidRDefault="00000000"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7E6E37B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55D4C5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7476B9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9F8727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51587DE0" w14:textId="77777777" w:rsidTr="00470026">
        <w:trPr>
          <w:trHeight w:val="216"/>
        </w:trPr>
        <w:tc>
          <w:tcPr>
            <w:tcW w:w="8488" w:type="dxa"/>
            <w:gridSpan w:val="2"/>
            <w:shd w:val="clear" w:color="auto" w:fill="auto"/>
            <w:vAlign w:val="center"/>
          </w:tcPr>
          <w:p w14:paraId="4CB047F2" w14:textId="77777777" w:rsidR="00DE25DE" w:rsidRPr="00F21859" w:rsidRDefault="00000000"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1C4F3D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BCB72A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6FA013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00DED62"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9A3C5D" w14:paraId="729D69E7" w14:textId="77777777" w:rsidTr="00470026">
        <w:trPr>
          <w:trHeight w:val="216"/>
        </w:trPr>
        <w:tc>
          <w:tcPr>
            <w:tcW w:w="8488" w:type="dxa"/>
            <w:gridSpan w:val="2"/>
            <w:shd w:val="clear" w:color="auto" w:fill="auto"/>
            <w:vAlign w:val="center"/>
          </w:tcPr>
          <w:p w14:paraId="4AE1D9D5" w14:textId="77777777" w:rsidR="00500F25" w:rsidRPr="00F21859" w:rsidRDefault="00000000" w:rsidP="00C267FD">
            <w:pPr>
              <w:rPr>
                <w:rFonts w:ascii="Tahoma" w:hAnsi="Tahoma" w:cs="Tahoma"/>
                <w:bCs/>
                <w:sz w:val="16"/>
                <w:szCs w:val="19"/>
                <w:lang w:val="pt-BR"/>
              </w:rPr>
            </w:pPr>
            <w:r>
              <w:rPr>
                <w:rFonts w:ascii="Tahoma" w:hAnsi="Tahoma" w:cs="Tahoma"/>
                <w:bCs/>
                <w:sz w:val="16"/>
                <w:szCs w:val="19"/>
              </w:rPr>
              <w:t>Skype Entreprise Server 2019</w:t>
            </w:r>
          </w:p>
        </w:tc>
        <w:tc>
          <w:tcPr>
            <w:tcW w:w="562" w:type="dxa"/>
            <w:shd w:val="clear" w:color="auto" w:fill="FDE9D9"/>
          </w:tcPr>
          <w:p w14:paraId="556EA9F4"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17ACCDC"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F11D7E2"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A93C946"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24C2B719" w14:textId="77777777" w:rsidTr="00470026">
        <w:trPr>
          <w:trHeight w:val="216"/>
        </w:trPr>
        <w:tc>
          <w:tcPr>
            <w:tcW w:w="8488" w:type="dxa"/>
            <w:gridSpan w:val="2"/>
            <w:shd w:val="clear" w:color="auto" w:fill="auto"/>
            <w:vAlign w:val="center"/>
          </w:tcPr>
          <w:p w14:paraId="1BF4BD34" w14:textId="77777777" w:rsidR="004247CA" w:rsidRPr="00F21859" w:rsidRDefault="00000000" w:rsidP="00F936AB">
            <w:pPr>
              <w:rPr>
                <w:rFonts w:ascii="Tahoma" w:hAnsi="Tahoma" w:cs="Tahoma"/>
                <w:bCs/>
                <w:sz w:val="16"/>
                <w:szCs w:val="19"/>
              </w:rPr>
            </w:pPr>
            <w:r>
              <w:rPr>
                <w:rFonts w:ascii="Tahoma" w:hAnsi="Tahoma" w:cs="Tahoma"/>
                <w:bCs/>
                <w:sz w:val="16"/>
                <w:szCs w:val="19"/>
              </w:rPr>
              <w:t>SQL Server 2022 Éditions Standard Core et Enterprise Core</w:t>
            </w:r>
          </w:p>
        </w:tc>
        <w:tc>
          <w:tcPr>
            <w:tcW w:w="562" w:type="dxa"/>
            <w:shd w:val="clear" w:color="auto" w:fill="FDE9D9"/>
          </w:tcPr>
          <w:p w14:paraId="170B3827"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2475F5DA"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658330"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D669DDB"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9A3C5D" w14:paraId="45528BC4" w14:textId="77777777" w:rsidTr="00470026">
        <w:trPr>
          <w:trHeight w:val="216"/>
        </w:trPr>
        <w:tc>
          <w:tcPr>
            <w:tcW w:w="8488" w:type="dxa"/>
            <w:gridSpan w:val="2"/>
            <w:shd w:val="clear" w:color="auto" w:fill="auto"/>
            <w:vAlign w:val="center"/>
          </w:tcPr>
          <w:p w14:paraId="5CF6FA12"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Édition Standard</w:t>
            </w:r>
          </w:p>
        </w:tc>
        <w:tc>
          <w:tcPr>
            <w:tcW w:w="562" w:type="dxa"/>
            <w:shd w:val="clear" w:color="auto" w:fill="FDE9D9"/>
          </w:tcPr>
          <w:p w14:paraId="09E4630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9B7B8E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3CE942"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3CD4812"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9A3C5D" w14:paraId="0FEBA201" w14:textId="77777777" w:rsidTr="00470026">
        <w:trPr>
          <w:trHeight w:val="216"/>
        </w:trPr>
        <w:tc>
          <w:tcPr>
            <w:tcW w:w="8488" w:type="dxa"/>
            <w:gridSpan w:val="2"/>
            <w:shd w:val="clear" w:color="auto" w:fill="auto"/>
            <w:vAlign w:val="center"/>
          </w:tcPr>
          <w:p w14:paraId="0AC8C502"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Édition Standard (en Utilisation Limitée à l’Exécution)</w:t>
            </w:r>
          </w:p>
        </w:tc>
        <w:tc>
          <w:tcPr>
            <w:tcW w:w="562" w:type="dxa"/>
            <w:shd w:val="clear" w:color="auto" w:fill="FDE9D9"/>
          </w:tcPr>
          <w:p w14:paraId="533A994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A17BB9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B849EE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9D0878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9A3C5D" w14:paraId="0406C1D5" w14:textId="77777777" w:rsidTr="00470026">
        <w:trPr>
          <w:trHeight w:val="216"/>
        </w:trPr>
        <w:tc>
          <w:tcPr>
            <w:tcW w:w="8488" w:type="dxa"/>
            <w:gridSpan w:val="2"/>
            <w:shd w:val="clear" w:color="auto" w:fill="auto"/>
            <w:vAlign w:val="center"/>
          </w:tcPr>
          <w:p w14:paraId="5DB2CC0A" w14:textId="77777777" w:rsidR="00034FB5" w:rsidRPr="00F21859" w:rsidRDefault="00000000"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F4A8702"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592A165E"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3EA8E84B"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0E45E6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9A3C5D" w14:paraId="4BDCF2CF" w14:textId="77777777" w:rsidTr="00470026">
        <w:trPr>
          <w:trHeight w:val="216"/>
        </w:trPr>
        <w:tc>
          <w:tcPr>
            <w:tcW w:w="8488" w:type="dxa"/>
            <w:gridSpan w:val="2"/>
            <w:shd w:val="clear" w:color="auto" w:fill="auto"/>
            <w:vAlign w:val="center"/>
          </w:tcPr>
          <w:p w14:paraId="1246BA36" w14:textId="77777777" w:rsidR="00034FB5" w:rsidRPr="00F21859" w:rsidRDefault="00000000" w:rsidP="005D3454">
            <w:pPr>
              <w:rPr>
                <w:rFonts w:ascii="Tahoma" w:hAnsi="Tahoma" w:cs="Tahoma"/>
                <w:bCs/>
                <w:sz w:val="16"/>
                <w:szCs w:val="19"/>
              </w:rPr>
            </w:pPr>
            <w:r>
              <w:rPr>
                <w:rFonts w:ascii="Tahoma" w:hAnsi="Tahoma" w:cs="Tahoma"/>
                <w:bCs/>
                <w:sz w:val="16"/>
                <w:szCs w:val="19"/>
              </w:rPr>
              <w:t>System Center 2022 Data Protection Manager (DPM)</w:t>
            </w:r>
          </w:p>
        </w:tc>
        <w:tc>
          <w:tcPr>
            <w:tcW w:w="562" w:type="dxa"/>
            <w:shd w:val="clear" w:color="auto" w:fill="FDE9D9"/>
          </w:tcPr>
          <w:p w14:paraId="3E62551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5D66A13A" w14:textId="77777777" w:rsidR="00034FB5"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5441A6B"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0B6475F"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9A3C5D" w14:paraId="63BBAE6D" w14:textId="77777777" w:rsidTr="00470026">
        <w:trPr>
          <w:trHeight w:val="216"/>
        </w:trPr>
        <w:tc>
          <w:tcPr>
            <w:tcW w:w="8488" w:type="dxa"/>
            <w:gridSpan w:val="2"/>
            <w:shd w:val="clear" w:color="auto" w:fill="auto"/>
          </w:tcPr>
          <w:p w14:paraId="765BCD3B"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3ADD4F10"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72EF1C0"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EFD43E4"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522664F"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9A3C5D" w14:paraId="7983CC67" w14:textId="77777777" w:rsidTr="00470026">
        <w:trPr>
          <w:trHeight w:val="216"/>
        </w:trPr>
        <w:tc>
          <w:tcPr>
            <w:tcW w:w="8488" w:type="dxa"/>
            <w:gridSpan w:val="2"/>
            <w:shd w:val="clear" w:color="auto" w:fill="auto"/>
          </w:tcPr>
          <w:p w14:paraId="321F819C"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7DBC1ABB"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345A68B4"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B6F831B"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00561BF"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9A3C5D" w14:paraId="4F20D05E" w14:textId="77777777" w:rsidTr="00470026">
        <w:trPr>
          <w:trHeight w:val="216"/>
        </w:trPr>
        <w:tc>
          <w:tcPr>
            <w:tcW w:w="8488" w:type="dxa"/>
            <w:gridSpan w:val="2"/>
            <w:shd w:val="clear" w:color="auto" w:fill="auto"/>
          </w:tcPr>
          <w:p w14:paraId="50457A76"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1477E23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62D967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DF3430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8603D69"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9A3C5D" w14:paraId="14EC92B1" w14:textId="77777777" w:rsidTr="00470026">
        <w:trPr>
          <w:trHeight w:val="216"/>
        </w:trPr>
        <w:tc>
          <w:tcPr>
            <w:tcW w:w="8488" w:type="dxa"/>
            <w:gridSpan w:val="2"/>
            <w:shd w:val="clear" w:color="auto" w:fill="auto"/>
            <w:vAlign w:val="center"/>
          </w:tcPr>
          <w:p w14:paraId="38E67D37"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7D5E835D"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DE28591"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62ACC0A"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2E27699"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9A3C5D" w14:paraId="4C2F492E" w14:textId="77777777" w:rsidTr="00470026">
        <w:trPr>
          <w:trHeight w:val="216"/>
        </w:trPr>
        <w:tc>
          <w:tcPr>
            <w:tcW w:w="8488" w:type="dxa"/>
            <w:gridSpan w:val="2"/>
            <w:shd w:val="clear" w:color="auto" w:fill="auto"/>
            <w:vAlign w:val="center"/>
          </w:tcPr>
          <w:p w14:paraId="52C4523D"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5093C201"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F868404"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6837D9E"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D771361"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9A3C5D" w14:paraId="300C8259" w14:textId="77777777" w:rsidTr="00470026">
        <w:trPr>
          <w:trHeight w:val="216"/>
        </w:trPr>
        <w:tc>
          <w:tcPr>
            <w:tcW w:w="8488" w:type="dxa"/>
            <w:gridSpan w:val="2"/>
            <w:shd w:val="clear" w:color="auto" w:fill="auto"/>
            <w:vAlign w:val="center"/>
          </w:tcPr>
          <w:p w14:paraId="4D17347D"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2024 Édition Professionnelle</w:t>
            </w:r>
          </w:p>
        </w:tc>
        <w:tc>
          <w:tcPr>
            <w:tcW w:w="562" w:type="dxa"/>
            <w:shd w:val="clear" w:color="auto" w:fill="FDE9D9"/>
          </w:tcPr>
          <w:p w14:paraId="0E4583E4"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BE18B8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6B3BC9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85716A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290734FB" w14:textId="77777777" w:rsidTr="00470026">
        <w:trPr>
          <w:trHeight w:val="216"/>
        </w:trPr>
        <w:tc>
          <w:tcPr>
            <w:tcW w:w="8488" w:type="dxa"/>
            <w:gridSpan w:val="2"/>
            <w:shd w:val="clear" w:color="auto" w:fill="auto"/>
            <w:vAlign w:val="center"/>
          </w:tcPr>
          <w:p w14:paraId="6AF151F8"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Standard 2024</w:t>
            </w:r>
          </w:p>
        </w:tc>
        <w:tc>
          <w:tcPr>
            <w:tcW w:w="562" w:type="dxa"/>
            <w:shd w:val="clear" w:color="auto" w:fill="FDE9D9"/>
          </w:tcPr>
          <w:p w14:paraId="46E2756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8BFCAC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0D45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DFA5E7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9A3C5D" w14:paraId="2CBA1C95" w14:textId="77777777" w:rsidTr="00470026">
        <w:trPr>
          <w:trHeight w:val="216"/>
        </w:trPr>
        <w:tc>
          <w:tcPr>
            <w:tcW w:w="8488" w:type="dxa"/>
            <w:gridSpan w:val="2"/>
            <w:shd w:val="clear" w:color="auto" w:fill="auto"/>
            <w:vAlign w:val="center"/>
          </w:tcPr>
          <w:p w14:paraId="14883FAD"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49FF960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D2C787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E1758B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B2F6FD"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9A3C5D" w14:paraId="21948957" w14:textId="77777777" w:rsidTr="00470026">
        <w:trPr>
          <w:trHeight w:val="216"/>
        </w:trPr>
        <w:tc>
          <w:tcPr>
            <w:tcW w:w="8488" w:type="dxa"/>
            <w:gridSpan w:val="2"/>
            <w:shd w:val="clear" w:color="auto" w:fill="auto"/>
            <w:vAlign w:val="center"/>
          </w:tcPr>
          <w:p w14:paraId="7AE73D58"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1429422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DDC465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6840FF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3662B3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9A3C5D" w14:paraId="44C9E4FF" w14:textId="77777777" w:rsidTr="00470026">
        <w:trPr>
          <w:trHeight w:val="216"/>
        </w:trPr>
        <w:tc>
          <w:tcPr>
            <w:tcW w:w="8488" w:type="dxa"/>
            <w:gridSpan w:val="2"/>
            <w:shd w:val="clear" w:color="auto" w:fill="auto"/>
            <w:vAlign w:val="center"/>
          </w:tcPr>
          <w:p w14:paraId="5A659676"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064A0E2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20CB29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C2D652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48EC93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9A3C5D" w14:paraId="3CB145AF" w14:textId="77777777" w:rsidTr="00470026">
        <w:trPr>
          <w:trHeight w:val="216"/>
        </w:trPr>
        <w:tc>
          <w:tcPr>
            <w:tcW w:w="8488" w:type="dxa"/>
            <w:gridSpan w:val="2"/>
            <w:shd w:val="clear" w:color="auto" w:fill="auto"/>
            <w:vAlign w:val="center"/>
          </w:tcPr>
          <w:p w14:paraId="1062F650" w14:textId="77777777" w:rsidR="00DE25DE" w:rsidRPr="00F21859" w:rsidRDefault="00000000" w:rsidP="005D3454">
            <w:pPr>
              <w:rPr>
                <w:rFonts w:ascii="Tahoma" w:hAnsi="Tahoma" w:cs="Tahoma"/>
                <w:bCs/>
                <w:sz w:val="16"/>
                <w:szCs w:val="19"/>
              </w:rPr>
            </w:pPr>
            <w:r>
              <w:rPr>
                <w:rFonts w:ascii="Tahoma" w:hAnsi="Tahoma" w:cs="Tahoma"/>
                <w:bCs/>
                <w:sz w:val="16"/>
                <w:szCs w:val="19"/>
              </w:rPr>
              <w:t>CAL Services Bureau à Distance pour Windows Server 2022</w:t>
            </w:r>
          </w:p>
        </w:tc>
        <w:tc>
          <w:tcPr>
            <w:tcW w:w="562" w:type="dxa"/>
            <w:shd w:val="clear" w:color="auto" w:fill="FDE9D9"/>
          </w:tcPr>
          <w:p w14:paraId="3F900F3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4A474A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041B923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0C6261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9A3C5D" w14:paraId="5BDD00E6" w14:textId="77777777" w:rsidTr="00470026">
        <w:trPr>
          <w:trHeight w:val="216"/>
        </w:trPr>
        <w:tc>
          <w:tcPr>
            <w:tcW w:w="8488" w:type="dxa"/>
            <w:gridSpan w:val="2"/>
            <w:shd w:val="clear" w:color="auto" w:fill="auto"/>
            <w:vAlign w:val="center"/>
          </w:tcPr>
          <w:p w14:paraId="77CB1CEB" w14:textId="77777777" w:rsidR="00DE25DE" w:rsidRPr="00F21859" w:rsidRDefault="00000000" w:rsidP="00F77865">
            <w:pPr>
              <w:rPr>
                <w:rFonts w:ascii="Tahoma" w:hAnsi="Tahoma" w:cs="Tahoma"/>
                <w:bCs/>
                <w:sz w:val="16"/>
                <w:szCs w:val="19"/>
              </w:rPr>
            </w:pPr>
            <w:r>
              <w:rPr>
                <w:rFonts w:ascii="Tahoma" w:hAnsi="Tahoma" w:cs="Tahoma"/>
                <w:bCs/>
                <w:sz w:val="16"/>
                <w:szCs w:val="19"/>
              </w:rPr>
              <w:t>Word LTSC 2024</w:t>
            </w:r>
          </w:p>
        </w:tc>
        <w:tc>
          <w:tcPr>
            <w:tcW w:w="562" w:type="dxa"/>
            <w:shd w:val="clear" w:color="auto" w:fill="FDE9D9"/>
          </w:tcPr>
          <w:p w14:paraId="4621551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7CB093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2C2D2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0CC621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487855E4" w14:textId="77777777" w:rsidR="008E2012" w:rsidRPr="00F21859" w:rsidRDefault="00000000"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*En ce qui concerne les éléments A, B, C et D dans la colonne de droite, consultez les conditions supplémentaires dans les sections A à D ci-après.</w:t>
      </w:r>
    </w:p>
    <w:p w14:paraId="4B83D99A" w14:textId="77777777" w:rsidR="00CC3B64" w:rsidRDefault="00000000" w:rsidP="00C267FD">
      <w:pPr>
        <w:spacing w:before="120" w:after="20"/>
        <w:rPr>
          <w:rFonts w:ascii="Tahoma" w:hAnsi="Tahoma" w:cs="Tahoma"/>
          <w:i/>
          <w:sz w:val="18"/>
          <w:szCs w:val="18"/>
        </w:rPr>
      </w:pPr>
      <w:r>
        <w:br w:type="page"/>
      </w:r>
    </w:p>
    <w:p w14:paraId="1C3FD79E" w14:textId="77777777" w:rsidR="00A26EDA"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Conditions de Produit Supplémentaires</w:t>
      </w:r>
    </w:p>
    <w:p w14:paraId="583F86BD" w14:textId="77777777" w:rsidR="00CC3B64" w:rsidRPr="00F21859" w:rsidRDefault="00000000" w:rsidP="008E2012">
      <w:pPr>
        <w:numPr>
          <w:ilvl w:val="0"/>
          <w:numId w:val="15"/>
        </w:numPr>
        <w:spacing w:before="120" w:after="120"/>
        <w:rPr>
          <w:rFonts w:ascii="Tahoma" w:hAnsi="Tahoma" w:cs="Tahoma"/>
          <w:bCs/>
        </w:rPr>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w:t>
      </w:r>
    </w:p>
    <w:p w14:paraId="1820DF4C" w14:textId="77777777" w:rsidR="00CC3B64"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Nombre maximal d’Ordinateurs Éligibles.</w:t>
      </w:r>
      <w:r>
        <w:rPr>
          <w:rFonts w:ascii="Tahoma" w:hAnsi="Tahoma" w:cs="Tahoma"/>
        </w:rPr>
        <w:t xml:space="preserve"> Vous êtes autorisé à fournir aux Utilisateurs Finaux les Produits Office Intégrés à la Solution Unifiée sur un nombre quelconque d’Ordinateurs Éligibles (sauf Pack multilingue Office 2013, Project Professional 2021 et Visio LTSC 2024).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d’exploitation embarqué (par exemple, Windows 10 IoT Enterprise).</w:t>
      </w:r>
    </w:p>
    <w:p w14:paraId="402329E5" w14:textId="77777777" w:rsidR="00554191"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2013</w:t>
      </w:r>
      <w:r>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00B1461" w14:textId="77777777" w:rsidR="00EE3044" w:rsidRPr="00EE3044" w:rsidRDefault="00EE3044" w:rsidP="00EE3044">
      <w:pPr>
        <w:pStyle w:val="ListParagraph"/>
        <w:spacing w:before="120" w:after="120"/>
        <w:ind w:left="360"/>
        <w:rPr>
          <w:rFonts w:ascii="Tahoma" w:hAnsi="Tahoma" w:cs="Tahoma"/>
        </w:rPr>
      </w:pPr>
    </w:p>
    <w:p w14:paraId="64198D13" w14:textId="77777777" w:rsidR="00554191" w:rsidRPr="00F21859" w:rsidRDefault="00000000" w:rsidP="008E2012">
      <w:pPr>
        <w:pStyle w:val="ListParagraph"/>
        <w:numPr>
          <w:ilvl w:val="0"/>
          <w:numId w:val="15"/>
        </w:numPr>
        <w:spacing w:before="120" w:after="120"/>
        <w:rPr>
          <w:rFonts w:ascii="Tahoma" w:hAnsi="Tahoma" w:cs="Tahoma"/>
        </w:rPr>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434608D0"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vous insériez les Conditions de Licence Microsoft relatives aux CAL dans le Contrat de Licence Utilisateur Final approprié, et</w:t>
      </w:r>
    </w:p>
    <w:p w14:paraId="70CCF784"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votre Solution Unifiée exploite une version de la CAL Services Bureau à Distance pour Windows Server appropriée à la version du composant de serveur Windows Server utilisée.</w:t>
      </w:r>
    </w:p>
    <w:p w14:paraId="024068A3" w14:textId="77777777" w:rsidR="00767B63" w:rsidRPr="001502EC" w:rsidRDefault="00000000" w:rsidP="008E2012">
      <w:pPr>
        <w:pStyle w:val="ListParagraph"/>
        <w:spacing w:before="120" w:after="120"/>
        <w:ind w:left="360"/>
        <w:rPr>
          <w:rFonts w:ascii="Tahoma" w:hAnsi="Tahoma" w:cs="Tahoma"/>
          <w:bCs/>
          <w:iCs/>
          <w:color w:val="000000"/>
        </w:rPr>
      </w:pPr>
      <w:r>
        <w:rPr>
          <w:rFonts w:ascii="Tahoma" w:hAnsi="Tahoma" w:cs="Tahoma"/>
          <w:bCs/>
          <w:iCs/>
          <w:color w:val="000000"/>
        </w:rPr>
        <w:t>CAL Services Bureau à Distance (RDS) distribuables :</w:t>
      </w:r>
    </w:p>
    <w:p w14:paraId="7BFAD50E" w14:textId="77777777" w:rsidR="005D3454"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Services Bureau à Distance pour Windows Server 2022</w:t>
      </w:r>
    </w:p>
    <w:p w14:paraId="60CC81DB" w14:textId="77777777" w:rsidR="00767B63"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Services Bureau à Distance pour Windows Server 2019</w:t>
      </w:r>
    </w:p>
    <w:p w14:paraId="209EA493" w14:textId="77777777" w:rsidR="00767B63" w:rsidRPr="00F21859" w:rsidRDefault="00000000" w:rsidP="008E2012">
      <w:pPr>
        <w:pStyle w:val="ListParagraph"/>
        <w:spacing w:before="120" w:after="120"/>
        <w:ind w:left="360"/>
        <w:rPr>
          <w:rFonts w:ascii="Tahoma" w:hAnsi="Tahoma" w:cs="Tahoma"/>
        </w:rPr>
      </w:pPr>
      <w:r>
        <w:rPr>
          <w:rFonts w:ascii="Tahoma" w:hAnsi="Tahoma" w:cs="Tahoma"/>
        </w:rPr>
        <w:t>Vous ne pouvez PAS transférer le logiciel serveur Windows Server dans le cadre de votre Solution Unifiée.</w:t>
      </w:r>
    </w:p>
    <w:p w14:paraId="011C521B" w14:textId="77777777" w:rsidR="00554191" w:rsidRPr="006147E5" w:rsidRDefault="00000000" w:rsidP="008E2012">
      <w:pPr>
        <w:spacing w:before="120" w:after="120"/>
        <w:ind w:left="360"/>
        <w:rPr>
          <w:rFonts w:ascii="Tahoma" w:hAnsi="Tahoma" w:cs="Tahoma"/>
        </w:rPr>
      </w:pPr>
      <w:r w:rsidRPr="006147E5">
        <w:rPr>
          <w:rFonts w:ascii="Tahoma" w:hAnsi="Tahoma" w:cs="Tahoma"/>
        </w:rPr>
        <w:t xml:space="preserve">Vous pouvez obtenir des Clés d’Enregistrement Produit pour la version appropriée des CAL Services Bureau à Distance en contactant </w:t>
      </w:r>
      <w:hyperlink r:id="rId11" w:history="1">
        <w:r w:rsidR="00554191" w:rsidRPr="006147E5">
          <w:rPr>
            <w:rStyle w:val="Hyperlink"/>
            <w:rFonts w:ascii="Tahoma" w:hAnsi="Tahoma" w:cs="Tahoma"/>
          </w:rPr>
          <w:t>isvroy@microsoft.com</w:t>
        </w:r>
      </w:hyperlink>
      <w:r w:rsidRPr="006147E5">
        <w:rPr>
          <w:rFonts w:ascii="Tahoma" w:hAnsi="Tahoma" w:cs="Tahoma"/>
        </w:rPr>
        <w:t xml:space="preserve"> ou votre distributeur ISV Royalty.</w:t>
      </w:r>
    </w:p>
    <w:p w14:paraId="368679DA" w14:textId="77777777" w:rsidR="00EE3044" w:rsidRPr="00EE3044" w:rsidRDefault="00EE3044" w:rsidP="00EE3044">
      <w:pPr>
        <w:pStyle w:val="ListParagraph"/>
        <w:spacing w:before="120" w:after="120"/>
        <w:ind w:left="360"/>
        <w:rPr>
          <w:rFonts w:ascii="Tahoma" w:hAnsi="Tahoma" w:cs="Tahoma"/>
        </w:rPr>
      </w:pPr>
    </w:p>
    <w:p w14:paraId="5FFD61D5" w14:textId="77777777" w:rsidR="00797681" w:rsidRPr="00F21859" w:rsidRDefault="00000000" w:rsidP="008E2012">
      <w:pPr>
        <w:pStyle w:val="ListParagraph"/>
        <w:numPr>
          <w:ilvl w:val="0"/>
          <w:numId w:val="15"/>
        </w:numPr>
        <w:spacing w:before="120" w:after="120"/>
        <w:rPr>
          <w:rFonts w:ascii="Tahoma" w:hAnsi="Tahoma" w:cs="Tahoma"/>
        </w:rPr>
      </w:pPr>
      <w:r>
        <w:rPr>
          <w:rFonts w:ascii="Tahoma" w:hAnsi="Tahoma" w:cs="Tahoma"/>
          <w:b/>
        </w:rPr>
        <w:t>System Center 2022</w:t>
      </w:r>
    </w:p>
    <w:p w14:paraId="169F122E" w14:textId="77777777" w:rsidR="00797681" w:rsidRDefault="00000000"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L’utilisation de System Center 2022 pour gérer des OSE sur un dispositif ou serveur concédé sous licence nécessite l’acquisition et l’attribution de licences System Center 2022 et de la Maintenance Intégrée de System Center.</w:t>
      </w:r>
    </w:p>
    <w:p w14:paraId="6F893477" w14:textId="77777777" w:rsidR="002D70A5" w:rsidRPr="00F21859" w:rsidRDefault="00000000"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L'utilisation de l'option Current Branch de System Center Configuration Manager n'est pas autorisée.</w:t>
      </w:r>
    </w:p>
    <w:p w14:paraId="7DAEBD8D" w14:textId="77777777" w:rsidR="00E43388" w:rsidRPr="0039212F" w:rsidRDefault="00000000">
      <w:pPr>
        <w:rPr>
          <w:rFonts w:ascii="Tahoma" w:hAnsi="Tahoma" w:cs="Tahoma"/>
          <w:b/>
          <w:color w:val="000000" w:themeColor="text1"/>
          <w:lang w:eastAsia="x-none"/>
        </w:rPr>
      </w:pPr>
      <w:r>
        <w:br w:type="page"/>
      </w:r>
    </w:p>
    <w:p w14:paraId="33AAC209" w14:textId="77777777" w:rsidR="00CC3B64"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Téléchargement électronique</w:t>
      </w:r>
    </w:p>
    <w:p w14:paraId="38E297D4" w14:textId="77777777" w:rsidR="00CC3B64" w:rsidRPr="00F21859" w:rsidRDefault="00000000" w:rsidP="008E2012">
      <w:pPr>
        <w:tabs>
          <w:tab w:val="left" w:pos="0"/>
        </w:tabs>
        <w:spacing w:before="120" w:after="120"/>
        <w:rPr>
          <w:rFonts w:ascii="Tahoma" w:hAnsi="Tahoma" w:cs="Tahoma"/>
        </w:rPr>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67E78192"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3762AAE9" w14:textId="77777777" w:rsidR="004C604E" w:rsidRPr="006147E5"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Vous devez maintenir des registres précis et complets de tous les téléchargements électroniques effectués dans le cadre de ce Contrat, y compris du nom de la Solution Unifiée et du ou des Produits inclus, de la date de vente et des nom et adresse de </w:t>
      </w:r>
      <w:r w:rsidRPr="006147E5">
        <w:rPr>
          <w:rFonts w:ascii="Tahoma" w:hAnsi="Tahoma" w:cs="Tahoma"/>
        </w:rPr>
        <w:t>l’Utilisateur Final.</w:t>
      </w:r>
    </w:p>
    <w:p w14:paraId="5F43838F" w14:textId="77777777" w:rsidR="004C604E" w:rsidRPr="006147E5" w:rsidRDefault="00000000" w:rsidP="008E2012">
      <w:pPr>
        <w:pStyle w:val="ListParagraph"/>
        <w:numPr>
          <w:ilvl w:val="0"/>
          <w:numId w:val="35"/>
        </w:numPr>
        <w:tabs>
          <w:tab w:val="left" w:pos="360"/>
        </w:tabs>
        <w:spacing w:before="120" w:after="120"/>
        <w:ind w:left="360"/>
        <w:rPr>
          <w:rFonts w:ascii="Tahoma" w:hAnsi="Tahoma" w:cs="Tahoma"/>
        </w:rPr>
      </w:pPr>
      <w:r w:rsidRPr="006147E5">
        <w:rPr>
          <w:rFonts w:ascii="Tahoma" w:hAnsi="Tahoma" w:cs="Tahoma"/>
        </w:rPr>
        <w:t>Vous devez protéger les pages de téléchargement au minimum par un certificat SSL 128 bits ou son équivalent.</w:t>
      </w:r>
    </w:p>
    <w:p w14:paraId="3C1AF9C3" w14:textId="77777777" w:rsidR="00CC3B64" w:rsidRPr="006147E5" w:rsidRDefault="00000000" w:rsidP="008E2012">
      <w:pPr>
        <w:pStyle w:val="ListParagraph"/>
        <w:numPr>
          <w:ilvl w:val="0"/>
          <w:numId w:val="35"/>
        </w:numPr>
        <w:tabs>
          <w:tab w:val="left" w:pos="360"/>
        </w:tabs>
        <w:spacing w:before="120" w:after="120"/>
        <w:ind w:left="360"/>
        <w:rPr>
          <w:rFonts w:ascii="Tahoma" w:hAnsi="Tahoma" w:cs="Tahoma"/>
        </w:rPr>
      </w:pPr>
      <w:r w:rsidRPr="006147E5">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71EC8E7F" w14:textId="77777777" w:rsidR="00CC3B64" w:rsidRPr="006147E5" w:rsidRDefault="00000000" w:rsidP="008E2012">
      <w:pPr>
        <w:pStyle w:val="ListParagraph"/>
        <w:numPr>
          <w:ilvl w:val="0"/>
          <w:numId w:val="35"/>
        </w:numPr>
        <w:tabs>
          <w:tab w:val="left" w:pos="360"/>
        </w:tabs>
        <w:spacing w:before="120" w:after="120"/>
        <w:ind w:left="360"/>
        <w:rPr>
          <w:rFonts w:ascii="Tahoma" w:hAnsi="Tahoma" w:cs="Tahoma"/>
        </w:rPr>
      </w:pPr>
      <w:r w:rsidRPr="006147E5">
        <w:rPr>
          <w:rFonts w:ascii="Tahoma" w:hAnsi="Tahoma" w:cs="Tahoma"/>
        </w:rPr>
        <w:t>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p>
    <w:p w14:paraId="1B23841E" w14:textId="77777777" w:rsidR="00CC3B64" w:rsidRPr="006147E5" w:rsidRDefault="00000000" w:rsidP="008E2012">
      <w:pPr>
        <w:pStyle w:val="ListParagraph"/>
        <w:numPr>
          <w:ilvl w:val="0"/>
          <w:numId w:val="35"/>
        </w:numPr>
        <w:tabs>
          <w:tab w:val="left" w:pos="360"/>
        </w:tabs>
        <w:spacing w:before="120" w:after="120"/>
        <w:ind w:left="360"/>
        <w:rPr>
          <w:rFonts w:ascii="Tahoma" w:hAnsi="Tahoma" w:cs="Tahoma"/>
        </w:rPr>
      </w:pPr>
      <w:r w:rsidRPr="006147E5">
        <w:rPr>
          <w:rFonts w:ascii="Tahoma" w:hAnsi="Tahoma" w:cs="Tahoma"/>
        </w:rPr>
        <w:t>Sur notre demande, vous devrez nous permettre d’évaluer l’efficacité de votre infrastructure de téléchargement électronique, y compris, notamment, de tout dispositif de sécurité y afférent.</w:t>
      </w:r>
    </w:p>
    <w:p w14:paraId="3C902E9E" w14:textId="77777777" w:rsidR="00CC3B64" w:rsidRPr="006147E5" w:rsidRDefault="00000000" w:rsidP="008E2012">
      <w:pPr>
        <w:pStyle w:val="ListParagraph"/>
        <w:numPr>
          <w:ilvl w:val="0"/>
          <w:numId w:val="35"/>
        </w:numPr>
        <w:tabs>
          <w:tab w:val="left" w:pos="360"/>
        </w:tabs>
        <w:spacing w:before="120" w:after="120"/>
        <w:ind w:left="360"/>
        <w:rPr>
          <w:rFonts w:ascii="Tahoma" w:hAnsi="Tahoma" w:cs="Tahoma"/>
        </w:rPr>
      </w:pPr>
      <w:r w:rsidRPr="006147E5">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02593453" w14:textId="77777777" w:rsidR="00CC3B64" w:rsidRPr="006147E5" w:rsidRDefault="00000000" w:rsidP="008E2012">
      <w:pPr>
        <w:pStyle w:val="ListParagraph"/>
        <w:numPr>
          <w:ilvl w:val="0"/>
          <w:numId w:val="35"/>
        </w:numPr>
        <w:tabs>
          <w:tab w:val="left" w:pos="360"/>
        </w:tabs>
        <w:spacing w:before="120" w:after="120"/>
        <w:ind w:left="360"/>
        <w:rPr>
          <w:rFonts w:ascii="Tahoma" w:hAnsi="Tahoma" w:cs="Tahoma"/>
        </w:rPr>
      </w:pPr>
      <w:r w:rsidRPr="006147E5">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33390E39" w14:textId="77777777" w:rsidR="00EB0883" w:rsidRPr="006147E5" w:rsidRDefault="00EB0883" w:rsidP="001502EC">
      <w:pPr>
        <w:tabs>
          <w:tab w:val="left" w:pos="0"/>
        </w:tabs>
        <w:spacing w:before="120" w:after="120"/>
        <w:rPr>
          <w:rFonts w:ascii="Tahoma" w:hAnsi="Tahoma" w:cs="Tahoma"/>
          <w:iCs/>
          <w:color w:val="000000"/>
        </w:rPr>
      </w:pPr>
    </w:p>
    <w:p w14:paraId="2EE371C8" w14:textId="77777777" w:rsidR="00EC223A" w:rsidRPr="006147E5" w:rsidRDefault="00000000" w:rsidP="008E2012">
      <w:pPr>
        <w:numPr>
          <w:ilvl w:val="0"/>
          <w:numId w:val="25"/>
        </w:numPr>
        <w:tabs>
          <w:tab w:val="left" w:pos="360"/>
        </w:tabs>
        <w:spacing w:before="120" w:after="120"/>
        <w:ind w:left="360"/>
        <w:rPr>
          <w:rFonts w:ascii="Tahoma" w:hAnsi="Tahoma" w:cs="Tahoma"/>
          <w:b/>
          <w:color w:val="FF6600"/>
          <w:sz w:val="24"/>
          <w:szCs w:val="24"/>
          <w:lang w:eastAsia="x-none"/>
        </w:rPr>
      </w:pPr>
      <w:r w:rsidRPr="006147E5">
        <w:rPr>
          <w:rFonts w:ascii="Tahoma" w:hAnsi="Tahoma" w:cs="Tahoma"/>
          <w:b/>
          <w:color w:val="FF6600"/>
          <w:sz w:val="24"/>
          <w:szCs w:val="24"/>
        </w:rPr>
        <w:t>Migration de produit</w:t>
      </w:r>
    </w:p>
    <w:p w14:paraId="6690E4AA" w14:textId="77777777" w:rsidR="00830ED6" w:rsidRPr="006147E5" w:rsidRDefault="00000000" w:rsidP="008E2012">
      <w:pPr>
        <w:spacing w:before="120" w:after="120"/>
        <w:rPr>
          <w:rFonts w:ascii="Tahoma" w:hAnsi="Tahoma" w:cs="Tahoma"/>
        </w:rPr>
      </w:pPr>
      <w:r w:rsidRPr="006147E5">
        <w:rPr>
          <w:rFonts w:ascii="Tahoma" w:hAnsi="Tahoma" w:cs="Tahoma"/>
          <w:b/>
          <w:bCs/>
          <w:iCs/>
        </w:rPr>
        <w:t>Droits de migration de produit pour la Maintenance Intégrée</w:t>
      </w:r>
      <w:r w:rsidRPr="006147E5">
        <w:rPr>
          <w:rFonts w:ascii="Tahoma" w:hAnsi="Tahoma" w:cs="Tahoma"/>
          <w:b/>
        </w:rPr>
        <w:t>.</w:t>
      </w:r>
      <w:r w:rsidRPr="006147E5">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5FA133E2" w14:textId="77777777" w:rsidR="00F77BD0" w:rsidRPr="006147E5" w:rsidRDefault="00000000" w:rsidP="008E2012">
      <w:pPr>
        <w:spacing w:before="120" w:after="120"/>
        <w:rPr>
          <w:rFonts w:ascii="Tahoma" w:hAnsi="Tahoma" w:cs="Tahoma"/>
        </w:rPr>
      </w:pPr>
      <w:r w:rsidRPr="006147E5">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650550B" w14:textId="77777777" w:rsidR="000E36EC" w:rsidRPr="006147E5" w:rsidRDefault="00000000" w:rsidP="008E2012">
      <w:pPr>
        <w:pStyle w:val="ListParagraph"/>
        <w:numPr>
          <w:ilvl w:val="0"/>
          <w:numId w:val="3"/>
        </w:numPr>
        <w:tabs>
          <w:tab w:val="clear" w:pos="1260"/>
          <w:tab w:val="num" w:pos="360"/>
        </w:tabs>
        <w:spacing w:before="120" w:after="120"/>
        <w:ind w:left="360"/>
        <w:rPr>
          <w:rFonts w:ascii="Tahoma" w:hAnsi="Tahoma" w:cs="Tahoma"/>
        </w:rPr>
      </w:pPr>
      <w:r w:rsidRPr="006147E5">
        <w:rPr>
          <w:rFonts w:ascii="Tahoma" w:hAnsi="Tahoma" w:cs="Tahoma"/>
        </w:rPr>
        <w:t>La Licence Éligible est la licence logicielle couverte par l’offre de Maintenance Intégrée active.</w:t>
      </w:r>
    </w:p>
    <w:p w14:paraId="12DB6F13" w14:textId="77777777" w:rsidR="00830ED6" w:rsidRPr="006147E5" w:rsidRDefault="00000000" w:rsidP="008E2012">
      <w:pPr>
        <w:pStyle w:val="ListParagraph"/>
        <w:numPr>
          <w:ilvl w:val="0"/>
          <w:numId w:val="3"/>
        </w:numPr>
        <w:tabs>
          <w:tab w:val="clear" w:pos="1260"/>
          <w:tab w:val="num" w:pos="360"/>
        </w:tabs>
        <w:spacing w:before="120" w:after="120"/>
        <w:ind w:left="360"/>
        <w:rPr>
          <w:rFonts w:ascii="Tahoma" w:hAnsi="Tahoma" w:cs="Tahoma"/>
        </w:rPr>
      </w:pPr>
      <w:r w:rsidRPr="006147E5">
        <w:rPr>
          <w:rFonts w:ascii="Tahoma" w:hAnsi="Tahoma" w:cs="Tahoma"/>
        </w:rPr>
        <w:t>La Licence Éligible est la licence logicielle pouvant être distribuée avec une Solution Unifiée mise à jour.</w:t>
      </w:r>
    </w:p>
    <w:p w14:paraId="0740EAD9" w14:textId="77777777" w:rsidR="00EB0883" w:rsidRPr="006147E5" w:rsidRDefault="00EB0883" w:rsidP="001502EC">
      <w:pPr>
        <w:tabs>
          <w:tab w:val="left" w:pos="0"/>
        </w:tabs>
        <w:spacing w:before="120" w:after="120"/>
        <w:rPr>
          <w:rFonts w:ascii="Tahoma" w:hAnsi="Tahoma" w:cs="Tahoma"/>
          <w:iCs/>
          <w:color w:val="000000"/>
        </w:rPr>
      </w:pPr>
    </w:p>
    <w:p w14:paraId="607E2A1F" w14:textId="77777777" w:rsidR="00B83983" w:rsidRPr="006147E5" w:rsidRDefault="00000000" w:rsidP="008E2012">
      <w:pPr>
        <w:spacing w:before="120" w:after="120"/>
        <w:rPr>
          <w:rFonts w:ascii="Tahoma" w:hAnsi="Tahoma" w:cs="Tahoma"/>
          <w:b/>
        </w:rPr>
      </w:pPr>
      <w:r w:rsidRPr="006147E5">
        <w:rPr>
          <w:rStyle w:val="Hyperlink"/>
          <w:rFonts w:ascii="Tahoma" w:hAnsi="Tahoma" w:cs="Tahoma"/>
          <w:b/>
          <w:bCs/>
          <w:iCs/>
          <w:color w:val="auto"/>
          <w:u w:val="none"/>
        </w:rPr>
        <w:t>BizTalk</w:t>
      </w:r>
      <w:r w:rsidRPr="006147E5">
        <w:rPr>
          <w:rFonts w:ascii="Tahoma" w:hAnsi="Tahoma" w:cs="Tahoma"/>
          <w:b/>
        </w:rPr>
        <w:t xml:space="preserve"> Server</w:t>
      </w:r>
    </w:p>
    <w:p w14:paraId="6322D64E" w14:textId="77777777" w:rsidR="000B6B47" w:rsidRPr="006147E5" w:rsidRDefault="00000000" w:rsidP="008E2012">
      <w:pPr>
        <w:spacing w:before="120" w:after="120"/>
        <w:rPr>
          <w:rFonts w:ascii="Tahoma" w:hAnsi="Tahoma" w:cs="Tahoma"/>
        </w:rPr>
      </w:pPr>
      <w:r w:rsidRPr="006147E5">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2016 ou 2020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3C5D" w:rsidRPr="006147E5" w14:paraId="7281FA7D"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A844F85" w14:textId="77777777" w:rsidR="00B83983" w:rsidRPr="006147E5" w:rsidRDefault="00000000" w:rsidP="00C267FD">
            <w:pPr>
              <w:jc w:val="center"/>
              <w:rPr>
                <w:rFonts w:ascii="Tahoma" w:hAnsi="Tahoma" w:cs="Tahoma"/>
                <w:b/>
                <w:bCs/>
                <w:sz w:val="18"/>
                <w:szCs w:val="18"/>
                <w:lang w:val="pt-BR"/>
              </w:rPr>
            </w:pPr>
            <w:r w:rsidRPr="006147E5">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0EB6B58" w14:textId="77777777" w:rsidR="00B83983" w:rsidRPr="006147E5" w:rsidRDefault="00000000" w:rsidP="00C267FD">
            <w:pPr>
              <w:jc w:val="center"/>
              <w:rPr>
                <w:rStyle w:val="Hyperlink"/>
                <w:rFonts w:ascii="Tahoma" w:hAnsi="Tahoma" w:cs="Tahoma"/>
                <w:b/>
                <w:bCs/>
                <w:iCs/>
                <w:color w:val="auto"/>
                <w:sz w:val="18"/>
                <w:szCs w:val="18"/>
                <w:u w:val="none"/>
                <w:lang w:val="pt-BR"/>
              </w:rPr>
            </w:pPr>
            <w:r w:rsidRPr="006147E5">
              <w:rPr>
                <w:rFonts w:ascii="Tahoma" w:hAnsi="Tahoma" w:cs="Tahoma"/>
                <w:b/>
                <w:bCs/>
                <w:sz w:val="18"/>
                <w:szCs w:val="18"/>
              </w:rPr>
              <w:t>Licence Éligible</w:t>
            </w:r>
          </w:p>
        </w:tc>
      </w:tr>
      <w:tr w:rsidR="009A3C5D" w:rsidRPr="006147E5" w14:paraId="31952F5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F738059" w14:textId="77777777" w:rsidR="00B83983" w:rsidRPr="006147E5" w:rsidRDefault="00000000" w:rsidP="00C267FD">
            <w:pPr>
              <w:rPr>
                <w:rFonts w:ascii="Tahoma" w:hAnsi="Tahoma" w:cs="Tahoma"/>
                <w:bCs/>
                <w:sz w:val="16"/>
                <w:szCs w:val="19"/>
              </w:rPr>
            </w:pPr>
            <w:r w:rsidRPr="006147E5">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0FC8C0" w14:textId="77777777" w:rsidR="00B83983" w:rsidRPr="006147E5" w:rsidRDefault="00000000" w:rsidP="00447689">
            <w:pPr>
              <w:rPr>
                <w:rFonts w:ascii="Tahoma" w:hAnsi="Tahoma" w:cs="Tahoma"/>
                <w:bCs/>
                <w:sz w:val="16"/>
                <w:szCs w:val="19"/>
              </w:rPr>
            </w:pPr>
            <w:r w:rsidRPr="006147E5">
              <w:rPr>
                <w:rFonts w:ascii="Tahoma" w:hAnsi="Tahoma" w:cs="Tahoma"/>
                <w:bCs/>
                <w:sz w:val="16"/>
                <w:szCs w:val="19"/>
              </w:rPr>
              <w:t>Quatre (4) licences BizTalk Server 2013, 2013 R2, 2016 ou 2020 Entreprise (Cœur)</w:t>
            </w:r>
            <w:r w:rsidRPr="006147E5">
              <w:rPr>
                <w:rFonts w:ascii="Tahoma" w:hAnsi="Tahoma" w:cs="Tahoma"/>
                <w:bCs/>
                <w:sz w:val="16"/>
                <w:szCs w:val="19"/>
                <w:vertAlign w:val="superscript"/>
              </w:rPr>
              <w:t>1,2</w:t>
            </w:r>
          </w:p>
        </w:tc>
      </w:tr>
      <w:tr w:rsidR="009A3C5D" w:rsidRPr="006147E5" w14:paraId="56E517D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44E76E" w14:textId="77777777" w:rsidR="00B83983" w:rsidRPr="006147E5" w:rsidRDefault="00000000" w:rsidP="00C267FD">
            <w:pPr>
              <w:rPr>
                <w:rFonts w:ascii="Tahoma" w:hAnsi="Tahoma" w:cs="Tahoma"/>
                <w:bCs/>
                <w:sz w:val="16"/>
                <w:szCs w:val="19"/>
              </w:rPr>
            </w:pPr>
            <w:r w:rsidRPr="006147E5">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56F38DC" w14:textId="77777777" w:rsidR="00B83983" w:rsidRPr="006147E5" w:rsidRDefault="00000000" w:rsidP="00C267FD">
            <w:pPr>
              <w:rPr>
                <w:rFonts w:ascii="Tahoma" w:hAnsi="Tahoma" w:cs="Tahoma"/>
                <w:szCs w:val="19"/>
              </w:rPr>
            </w:pPr>
            <w:r w:rsidRPr="006147E5">
              <w:rPr>
                <w:rFonts w:ascii="Tahoma" w:hAnsi="Tahoma" w:cs="Tahoma"/>
                <w:bCs/>
                <w:sz w:val="16"/>
                <w:szCs w:val="19"/>
              </w:rPr>
              <w:t>Quatre (4) licences BizTalk Server 2013, 2013 R2, 2016 ou 2020 Standard (Cœur)</w:t>
            </w:r>
            <w:r w:rsidRPr="006147E5">
              <w:rPr>
                <w:rFonts w:ascii="Tahoma" w:hAnsi="Tahoma" w:cs="Tahoma"/>
                <w:bCs/>
                <w:sz w:val="16"/>
                <w:szCs w:val="19"/>
                <w:vertAlign w:val="superscript"/>
              </w:rPr>
              <w:t>1,2</w:t>
            </w:r>
          </w:p>
        </w:tc>
      </w:tr>
      <w:tr w:rsidR="009A3C5D" w:rsidRPr="006147E5" w14:paraId="0CC183F3"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DD0EE6C" w14:textId="77777777" w:rsidR="00B83983" w:rsidRPr="006147E5" w:rsidRDefault="00000000" w:rsidP="00C267FD">
            <w:pPr>
              <w:rPr>
                <w:rFonts w:ascii="Tahoma" w:hAnsi="Tahoma" w:cs="Tahoma"/>
                <w:bCs/>
                <w:sz w:val="16"/>
                <w:szCs w:val="19"/>
              </w:rPr>
            </w:pPr>
            <w:r w:rsidRPr="006147E5">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57721C" w14:textId="77777777" w:rsidR="00B83983" w:rsidRPr="006147E5" w:rsidRDefault="00000000" w:rsidP="00447689">
            <w:pPr>
              <w:rPr>
                <w:rFonts w:ascii="Tahoma" w:hAnsi="Tahoma" w:cs="Tahoma"/>
                <w:bCs/>
                <w:sz w:val="16"/>
                <w:szCs w:val="19"/>
              </w:rPr>
            </w:pPr>
            <w:r w:rsidRPr="006147E5">
              <w:rPr>
                <w:rFonts w:ascii="Tahoma" w:hAnsi="Tahoma" w:cs="Tahoma"/>
                <w:bCs/>
                <w:sz w:val="16"/>
                <w:szCs w:val="19"/>
              </w:rPr>
              <w:t>Quatre (4) licences BizTalk Server 2013, 2013 R2, 2016 ou 2020 Agence (Cœur)</w:t>
            </w:r>
            <w:r w:rsidRPr="006147E5">
              <w:rPr>
                <w:rFonts w:ascii="Tahoma" w:hAnsi="Tahoma" w:cs="Tahoma"/>
                <w:bCs/>
                <w:sz w:val="16"/>
                <w:szCs w:val="19"/>
                <w:vertAlign w:val="superscript"/>
              </w:rPr>
              <w:t>1,2</w:t>
            </w:r>
          </w:p>
        </w:tc>
      </w:tr>
    </w:tbl>
    <w:p w14:paraId="76EFCAB4" w14:textId="77777777" w:rsidR="00B83983" w:rsidRPr="006147E5" w:rsidRDefault="00000000" w:rsidP="005F58E3">
      <w:pPr>
        <w:rPr>
          <w:rFonts w:ascii="Tahoma" w:hAnsi="Tahoma" w:cs="Tahoma"/>
          <w:sz w:val="16"/>
          <w:szCs w:val="16"/>
        </w:rPr>
      </w:pPr>
      <w:r w:rsidRPr="006147E5">
        <w:rPr>
          <w:rFonts w:ascii="Tahoma" w:hAnsi="Tahoma" w:cs="Tahoma"/>
          <w:sz w:val="16"/>
          <w:szCs w:val="16"/>
          <w:vertAlign w:val="superscript"/>
        </w:rPr>
        <w:t xml:space="preserve">1 </w:t>
      </w:r>
      <w:r w:rsidRPr="006147E5">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68405BE4" w14:textId="77777777" w:rsidR="00B83983" w:rsidRPr="006147E5" w:rsidRDefault="00000000" w:rsidP="005F58E3">
      <w:pPr>
        <w:rPr>
          <w:rFonts w:ascii="Tahoma" w:hAnsi="Tahoma" w:cs="Tahoma"/>
          <w:sz w:val="16"/>
          <w:szCs w:val="16"/>
        </w:rPr>
      </w:pPr>
      <w:r w:rsidRPr="006147E5">
        <w:rPr>
          <w:rFonts w:ascii="Tahoma" w:hAnsi="Tahoma" w:cs="Tahoma"/>
          <w:sz w:val="16"/>
          <w:szCs w:val="16"/>
          <w:vertAlign w:val="superscript"/>
        </w:rPr>
        <w:t xml:space="preserve">2 </w:t>
      </w:r>
      <w:r w:rsidRPr="006147E5">
        <w:rPr>
          <w:rFonts w:ascii="Tahoma" w:hAnsi="Tahoma" w:cs="Tahoma"/>
          <w:sz w:val="16"/>
          <w:szCs w:val="16"/>
        </w:rPr>
        <w:t>Le Contrat de Licence Utilisateur Final du logiciel BizTalk Serveur 2013 inclut un lien vers le tableau des coefficients de cœur.</w:t>
      </w:r>
    </w:p>
    <w:p w14:paraId="08122774" w14:textId="77777777" w:rsidR="00EB0883" w:rsidRPr="006147E5" w:rsidRDefault="00EB0883" w:rsidP="001502EC">
      <w:pPr>
        <w:tabs>
          <w:tab w:val="left" w:pos="0"/>
        </w:tabs>
        <w:spacing w:before="120" w:after="120"/>
        <w:rPr>
          <w:rFonts w:ascii="Tahoma" w:hAnsi="Tahoma" w:cs="Tahoma"/>
          <w:iCs/>
          <w:color w:val="000000"/>
        </w:rPr>
      </w:pPr>
    </w:p>
    <w:p w14:paraId="3B8036A7" w14:textId="77777777" w:rsidR="00133A0E" w:rsidRPr="006147E5" w:rsidRDefault="00000000" w:rsidP="00133A0E">
      <w:pPr>
        <w:spacing w:before="120" w:after="120"/>
        <w:rPr>
          <w:rFonts w:ascii="Tahoma" w:hAnsi="Tahoma" w:cs="Tahoma"/>
          <w:b/>
          <w:color w:val="000000" w:themeColor="text1"/>
        </w:rPr>
      </w:pPr>
      <w:r w:rsidRPr="006147E5">
        <w:rPr>
          <w:rFonts w:ascii="Tahoma" w:hAnsi="Tahoma" w:cs="Tahoma"/>
          <w:b/>
          <w:color w:val="000000" w:themeColor="text1"/>
        </w:rPr>
        <w:t>Microsoft Dynamics 365</w:t>
      </w:r>
    </w:p>
    <w:p w14:paraId="40BD7045" w14:textId="77777777" w:rsidR="00133A0E" w:rsidRPr="006147E5" w:rsidRDefault="00000000" w:rsidP="00133A0E">
      <w:pPr>
        <w:spacing w:before="120" w:after="120"/>
        <w:rPr>
          <w:rFonts w:ascii="Tahoma" w:hAnsi="Tahoma" w:cs="Tahoma"/>
        </w:rPr>
      </w:pPr>
      <w:r w:rsidRPr="006147E5">
        <w:rPr>
          <w:rFonts w:ascii="Tahoma" w:hAnsi="Tahoma" w:cs="Tahoma"/>
        </w:rPr>
        <w:t>Les Clients avec des Utilisateurs Finaux disposant d’une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9A3C5D" w:rsidRPr="006147E5" w14:paraId="0F38BD9E"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E88EB79" w14:textId="77777777" w:rsidR="00133A0E" w:rsidRPr="006147E5" w:rsidRDefault="00000000" w:rsidP="00133A0E">
            <w:pPr>
              <w:pStyle w:val="ProductList-Body"/>
              <w:tabs>
                <w:tab w:val="clear" w:pos="158"/>
              </w:tabs>
              <w:jc w:val="center"/>
              <w:rPr>
                <w:rFonts w:ascii="Tahoma" w:hAnsi="Tahoma" w:cs="Tahoma"/>
                <w:b/>
                <w:szCs w:val="18"/>
              </w:rPr>
            </w:pPr>
            <w:r w:rsidRPr="006147E5">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25BE43B8" w14:textId="77777777" w:rsidR="00133A0E" w:rsidRPr="006147E5" w:rsidRDefault="00000000" w:rsidP="00133A0E">
            <w:pPr>
              <w:pStyle w:val="ProductList-Body"/>
              <w:jc w:val="center"/>
              <w:rPr>
                <w:rFonts w:ascii="Tahoma" w:hAnsi="Tahoma" w:cs="Tahoma"/>
                <w:b/>
                <w:szCs w:val="18"/>
              </w:rPr>
            </w:pPr>
            <w:r w:rsidRPr="006147E5">
              <w:rPr>
                <w:rFonts w:ascii="Tahoma" w:hAnsi="Tahoma" w:cs="Tahoma"/>
                <w:b/>
                <w:szCs w:val="18"/>
              </w:rPr>
              <w:t>Licence Éligible</w:t>
            </w:r>
          </w:p>
        </w:tc>
      </w:tr>
      <w:tr w:rsidR="009A3C5D" w:rsidRPr="006147E5" w14:paraId="2C3476BF"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0ECF0CBA" w14:textId="77777777" w:rsidR="00133A0E" w:rsidRPr="006147E5" w:rsidRDefault="00000000" w:rsidP="00133A0E">
            <w:pPr>
              <w:rPr>
                <w:rFonts w:ascii="Tahoma" w:hAnsi="Tahoma" w:cs="Tahoma"/>
                <w:color w:val="000000"/>
                <w:sz w:val="16"/>
                <w:szCs w:val="16"/>
              </w:rPr>
            </w:pPr>
            <w:r w:rsidRPr="006147E5">
              <w:rPr>
                <w:rFonts w:ascii="Tahoma" w:hAnsi="Tahoma" w:cs="Tahoma"/>
                <w:color w:val="000000"/>
                <w:sz w:val="16"/>
                <w:szCs w:val="16"/>
              </w:rPr>
              <w:t>Une (1) CAL Essentielle Microsoft Dynamics CRM 2016</w:t>
            </w:r>
          </w:p>
          <w:p w14:paraId="3827E322" w14:textId="77777777" w:rsidR="00133A0E" w:rsidRPr="006147E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D416597" w14:textId="77777777" w:rsidR="00133A0E" w:rsidRPr="006147E5" w:rsidRDefault="00000000" w:rsidP="00133A0E">
            <w:pPr>
              <w:pStyle w:val="ProductList-Body"/>
              <w:rPr>
                <w:rFonts w:ascii="Tahoma" w:hAnsi="Tahoma" w:cs="Tahoma"/>
                <w:color w:val="000000"/>
                <w:sz w:val="16"/>
                <w:szCs w:val="16"/>
              </w:rPr>
            </w:pPr>
            <w:r w:rsidRPr="006147E5">
              <w:rPr>
                <w:rFonts w:ascii="Tahoma" w:hAnsi="Tahoma" w:cs="Tahoma"/>
                <w:color w:val="000000"/>
                <w:sz w:val="16"/>
                <w:szCs w:val="16"/>
              </w:rPr>
              <w:t>Une (1) CAL Microsoft Dynamics 365 pour Team Members</w:t>
            </w:r>
          </w:p>
          <w:p w14:paraId="00E354AF" w14:textId="77777777" w:rsidR="00133A0E" w:rsidRPr="006147E5" w:rsidRDefault="00133A0E" w:rsidP="00133A0E">
            <w:pPr>
              <w:pStyle w:val="ProductList-Body"/>
              <w:rPr>
                <w:rFonts w:ascii="Tahoma" w:hAnsi="Tahoma" w:cs="Tahoma"/>
                <w:color w:val="000000"/>
                <w:sz w:val="16"/>
                <w:szCs w:val="16"/>
              </w:rPr>
            </w:pPr>
          </w:p>
        </w:tc>
      </w:tr>
      <w:tr w:rsidR="009A3C5D" w:rsidRPr="006147E5" w14:paraId="500CAA61" w14:textId="77777777" w:rsidTr="00133A0E">
        <w:trPr>
          <w:trHeight w:val="216"/>
        </w:trPr>
        <w:tc>
          <w:tcPr>
            <w:tcW w:w="5400" w:type="dxa"/>
            <w:tcMar>
              <w:top w:w="0" w:type="dxa"/>
              <w:left w:w="108" w:type="dxa"/>
              <w:bottom w:w="0" w:type="dxa"/>
              <w:right w:w="108" w:type="dxa"/>
            </w:tcMar>
            <w:hideMark/>
          </w:tcPr>
          <w:p w14:paraId="73BC4790" w14:textId="77777777" w:rsidR="00133A0E" w:rsidRPr="006147E5" w:rsidRDefault="00000000" w:rsidP="00133A0E">
            <w:pPr>
              <w:pStyle w:val="ProductList-Body"/>
              <w:rPr>
                <w:rFonts w:ascii="Tahoma" w:hAnsi="Tahoma" w:cs="Tahoma"/>
                <w:color w:val="000000"/>
                <w:sz w:val="16"/>
                <w:szCs w:val="16"/>
              </w:rPr>
            </w:pPr>
            <w:r w:rsidRPr="006147E5">
              <w:rPr>
                <w:rFonts w:ascii="Tahoma" w:hAnsi="Tahoma" w:cs="Tahoma"/>
                <w:color w:val="000000"/>
                <w:sz w:val="16"/>
                <w:szCs w:val="16"/>
              </w:rPr>
              <w:t>Une (1) CAL Supplémentaire Utilisation Basique Microsoft Dynamics CRM 2016 ou</w:t>
            </w:r>
          </w:p>
          <w:p w14:paraId="19126447" w14:textId="77777777" w:rsidR="00133A0E" w:rsidRPr="006147E5" w:rsidRDefault="00000000" w:rsidP="00133A0E">
            <w:pPr>
              <w:pStyle w:val="ProductList-Body"/>
              <w:rPr>
                <w:rFonts w:ascii="Tahoma" w:hAnsi="Tahoma" w:cs="Tahoma"/>
                <w:color w:val="000000"/>
                <w:sz w:val="16"/>
                <w:szCs w:val="16"/>
              </w:rPr>
            </w:pPr>
            <w:r w:rsidRPr="006147E5">
              <w:rPr>
                <w:rFonts w:ascii="Tahoma" w:hAnsi="Tahoma" w:cs="Tahoma"/>
                <w:color w:val="000000"/>
                <w:sz w:val="16"/>
                <w:szCs w:val="16"/>
              </w:rPr>
              <w:t>Une (1) CAL Supplémentaire Utilisation Professionnelle Microsoft Dynamics CRM 2016</w:t>
            </w:r>
          </w:p>
          <w:p w14:paraId="719DA486" w14:textId="77777777" w:rsidR="00133A0E" w:rsidRPr="006147E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47BD9361" w14:textId="77777777" w:rsidR="00133A0E" w:rsidRPr="006147E5" w:rsidRDefault="00000000" w:rsidP="00133A0E">
            <w:pPr>
              <w:pStyle w:val="ProductList-Body"/>
              <w:rPr>
                <w:rFonts w:ascii="Tahoma" w:hAnsi="Tahoma" w:cs="Tahoma"/>
                <w:color w:val="000000"/>
                <w:sz w:val="16"/>
                <w:szCs w:val="16"/>
              </w:rPr>
            </w:pPr>
            <w:r w:rsidRPr="006147E5">
              <w:rPr>
                <w:rFonts w:ascii="Tahoma" w:hAnsi="Tahoma" w:cs="Tahoma"/>
                <w:color w:val="000000"/>
                <w:sz w:val="16"/>
                <w:szCs w:val="16"/>
              </w:rPr>
              <w:t>Une (1) CAL Microsoft Dynamics 365 pour Sales ou</w:t>
            </w:r>
          </w:p>
          <w:p w14:paraId="4ECBBCE4" w14:textId="77777777" w:rsidR="00133A0E" w:rsidRPr="006147E5" w:rsidRDefault="00000000" w:rsidP="00133A0E">
            <w:pPr>
              <w:rPr>
                <w:rFonts w:ascii="Tahoma" w:hAnsi="Tahoma" w:cs="Tahoma"/>
                <w:color w:val="000000"/>
                <w:sz w:val="16"/>
                <w:szCs w:val="16"/>
              </w:rPr>
            </w:pPr>
            <w:r w:rsidRPr="006147E5">
              <w:rPr>
                <w:rFonts w:ascii="Tahoma" w:hAnsi="Tahoma" w:cs="Tahoma"/>
                <w:color w:val="000000"/>
                <w:sz w:val="16"/>
                <w:szCs w:val="16"/>
              </w:rPr>
              <w:t>Une (1) CAL Microsoft Dynamics 365 pour le Service Client ou</w:t>
            </w:r>
          </w:p>
          <w:p w14:paraId="791A49B2" w14:textId="77777777" w:rsidR="00133A0E" w:rsidRPr="006147E5" w:rsidRDefault="00000000" w:rsidP="00133A0E">
            <w:pPr>
              <w:pStyle w:val="ProductList-Body"/>
              <w:rPr>
                <w:rFonts w:ascii="Tahoma" w:hAnsi="Tahoma" w:cs="Tahoma"/>
                <w:color w:val="000000"/>
                <w:sz w:val="16"/>
                <w:szCs w:val="16"/>
              </w:rPr>
            </w:pPr>
            <w:r w:rsidRPr="006147E5">
              <w:rPr>
                <w:rFonts w:ascii="Tahoma" w:hAnsi="Tahoma" w:cs="Tahoma"/>
                <w:color w:val="000000"/>
                <w:sz w:val="16"/>
                <w:szCs w:val="16"/>
              </w:rPr>
              <w:t>Une (1) CAL Microsoft Dynamics 365 pour Sales et une (1) CAL Microsoft Dynamics 365 pour le Service Client</w:t>
            </w:r>
          </w:p>
          <w:p w14:paraId="008A2DD3" w14:textId="77777777" w:rsidR="00133A0E" w:rsidRPr="006147E5" w:rsidRDefault="00133A0E" w:rsidP="00133A0E">
            <w:pPr>
              <w:rPr>
                <w:rFonts w:ascii="Tahoma" w:hAnsi="Tahoma" w:cs="Tahoma"/>
                <w:color w:val="000000"/>
                <w:sz w:val="16"/>
                <w:szCs w:val="16"/>
                <w:vertAlign w:val="superscript"/>
              </w:rPr>
            </w:pPr>
          </w:p>
        </w:tc>
      </w:tr>
    </w:tbl>
    <w:p w14:paraId="10F123F5" w14:textId="77777777" w:rsidR="00133A0E" w:rsidRPr="006147E5" w:rsidRDefault="00000000" w:rsidP="00133A0E">
      <w:pPr>
        <w:rPr>
          <w:rFonts w:ascii="Tahoma" w:eastAsiaTheme="minorHAnsi" w:hAnsi="Tahoma" w:cs="Tahoma"/>
          <w:color w:val="000000"/>
          <w:sz w:val="16"/>
          <w:szCs w:val="16"/>
        </w:rPr>
      </w:pPr>
      <w:r w:rsidRPr="006147E5">
        <w:rPr>
          <w:rFonts w:ascii="Tahoma" w:hAnsi="Tahoma" w:cs="Tahoma"/>
          <w:color w:val="000000"/>
          <w:sz w:val="16"/>
          <w:szCs w:val="16"/>
          <w:vertAlign w:val="superscript"/>
        </w:rPr>
        <w:t>1</w:t>
      </w:r>
      <w:r w:rsidRPr="006147E5">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0DFD2F58" w14:textId="77777777" w:rsidR="00133A0E" w:rsidRPr="006147E5" w:rsidRDefault="00133A0E" w:rsidP="001502EC">
      <w:pPr>
        <w:tabs>
          <w:tab w:val="left" w:pos="0"/>
        </w:tabs>
        <w:spacing w:before="120" w:after="120"/>
        <w:rPr>
          <w:rFonts w:ascii="Tahoma" w:hAnsi="Tahoma" w:cs="Tahoma"/>
          <w:iCs/>
          <w:color w:val="000000"/>
        </w:rPr>
      </w:pPr>
    </w:p>
    <w:p w14:paraId="450E056E" w14:textId="77777777" w:rsidR="000E1294" w:rsidRPr="006147E5" w:rsidRDefault="00000000" w:rsidP="000E1294">
      <w:pPr>
        <w:spacing w:before="120" w:after="120"/>
        <w:rPr>
          <w:rFonts w:ascii="Tahoma" w:hAnsi="Tahoma" w:cs="Tahoma"/>
          <w:b/>
          <w:color w:val="000000" w:themeColor="text1"/>
        </w:rPr>
      </w:pPr>
      <w:r w:rsidRPr="006147E5">
        <w:rPr>
          <w:rFonts w:ascii="Tahoma" w:hAnsi="Tahoma" w:cs="Tahoma"/>
          <w:b/>
          <w:color w:val="000000" w:themeColor="text1"/>
        </w:rPr>
        <w:t>CAL Microsoft Dynamics 365 pour Team Members</w:t>
      </w:r>
    </w:p>
    <w:p w14:paraId="45F32B38" w14:textId="77777777" w:rsidR="000E1294" w:rsidRPr="006147E5" w:rsidRDefault="00000000" w:rsidP="000E1294">
      <w:pPr>
        <w:spacing w:before="120" w:after="120"/>
        <w:rPr>
          <w:rFonts w:ascii="Tahoma" w:hAnsi="Tahoma" w:cs="Tahoma"/>
          <w:bCs/>
          <w:color w:val="000000" w:themeColor="text1"/>
        </w:rPr>
      </w:pPr>
      <w:r w:rsidRPr="006147E5">
        <w:rPr>
          <w:rFonts w:ascii="Tahoma" w:hAnsi="Tahoma" w:cs="Tahoma"/>
          <w:bCs/>
          <w:color w:val="000000" w:themeColor="text1"/>
        </w:rPr>
        <w:t xml:space="preserve">Les clients existants disposant de licences Team Members en date du 30 avril 2019 peuvent utiliser les licences CAL Dynamics 365 Team Members acquises avant le 31 décembre 2019 conformément à la description de service de Dynamics 365 disponible à l'adresse </w:t>
      </w:r>
      <w:hyperlink r:id="rId12" w:history="1">
        <w:r w:rsidR="000E1294" w:rsidRPr="006147E5">
          <w:rPr>
            <w:rStyle w:val="Hyperlink"/>
            <w:rFonts w:ascii="Tahoma" w:hAnsi="Tahoma" w:cs="Tahoma"/>
            <w:bCs/>
          </w:rPr>
          <w:t>http://download.microsoft.com/download/D/B/3/DB37B5D3-7796-4536-AC8D-8EFDB95CD52F/Team-Members-Grandfathering.pdf</w:t>
        </w:r>
      </w:hyperlink>
      <w:r w:rsidRPr="006147E5">
        <w:rPr>
          <w:rFonts w:ascii="Tahoma" w:hAnsi="Tahoma" w:cs="Tahoma"/>
          <w:bCs/>
          <w:color w:val="000000" w:themeColor="text1"/>
        </w:rPr>
        <w:t>.</w:t>
      </w:r>
    </w:p>
    <w:p w14:paraId="1CCDF084" w14:textId="77777777" w:rsidR="000E1294" w:rsidRPr="006147E5" w:rsidRDefault="000E1294" w:rsidP="001502EC">
      <w:pPr>
        <w:tabs>
          <w:tab w:val="left" w:pos="0"/>
        </w:tabs>
        <w:spacing w:before="120" w:after="120"/>
        <w:rPr>
          <w:rFonts w:ascii="Tahoma" w:hAnsi="Tahoma" w:cs="Tahoma"/>
          <w:iCs/>
          <w:color w:val="000000"/>
        </w:rPr>
      </w:pPr>
    </w:p>
    <w:p w14:paraId="2390C462" w14:textId="77777777" w:rsidR="003331FA" w:rsidRPr="006147E5" w:rsidRDefault="00000000" w:rsidP="005F58E3">
      <w:pPr>
        <w:spacing w:before="120" w:after="120"/>
        <w:rPr>
          <w:rFonts w:ascii="Tahoma" w:hAnsi="Tahoma" w:cs="Tahoma"/>
          <w:b/>
          <w:color w:val="000000" w:themeColor="text1"/>
        </w:rPr>
      </w:pPr>
      <w:r w:rsidRPr="006147E5">
        <w:rPr>
          <w:rFonts w:ascii="Tahoma" w:hAnsi="Tahoma" w:cs="Tahoma"/>
          <w:b/>
          <w:color w:val="000000" w:themeColor="text1"/>
        </w:rPr>
        <w:t>Microsoft Dynamics CRM 2016 et versions antérieures</w:t>
      </w:r>
    </w:p>
    <w:p w14:paraId="03CAA192" w14:textId="77777777" w:rsidR="00BD41AF" w:rsidRPr="006147E5" w:rsidRDefault="00000000" w:rsidP="005F58E3">
      <w:pPr>
        <w:spacing w:before="120" w:after="120"/>
        <w:rPr>
          <w:rFonts w:ascii="Tahoma" w:hAnsi="Tahoma" w:cs="Tahoma"/>
        </w:rPr>
      </w:pPr>
      <w:r w:rsidRPr="006147E5">
        <w:rPr>
          <w:rFonts w:ascii="Tahoma" w:hAnsi="Tahoma" w:cs="Tahoma"/>
        </w:rPr>
        <w:t>Les Clients avec des Utilisateurs Finaux disposant d’une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9A3C5D" w:rsidRPr="006147E5" w14:paraId="7261AB60"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FA519D6" w14:textId="77777777" w:rsidR="003331FA" w:rsidRPr="006147E5" w:rsidRDefault="00000000" w:rsidP="005F58E3">
            <w:pPr>
              <w:pStyle w:val="ProductList-Body"/>
              <w:tabs>
                <w:tab w:val="clear" w:pos="158"/>
              </w:tabs>
              <w:jc w:val="center"/>
              <w:rPr>
                <w:rFonts w:ascii="Tahoma" w:hAnsi="Tahoma" w:cs="Tahoma"/>
                <w:b/>
                <w:szCs w:val="18"/>
              </w:rPr>
            </w:pPr>
            <w:r w:rsidRPr="006147E5">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BDCD845" w14:textId="77777777" w:rsidR="003331FA" w:rsidRPr="006147E5" w:rsidRDefault="00000000" w:rsidP="005F58E3">
            <w:pPr>
              <w:pStyle w:val="ProductList-Body"/>
              <w:jc w:val="center"/>
              <w:rPr>
                <w:rFonts w:ascii="Tahoma" w:hAnsi="Tahoma" w:cs="Tahoma"/>
                <w:b/>
                <w:szCs w:val="18"/>
              </w:rPr>
            </w:pPr>
            <w:r w:rsidRPr="006147E5">
              <w:rPr>
                <w:rFonts w:ascii="Tahoma" w:hAnsi="Tahoma" w:cs="Tahoma"/>
                <w:b/>
                <w:szCs w:val="18"/>
              </w:rPr>
              <w:t>Licence Éligible</w:t>
            </w:r>
          </w:p>
        </w:tc>
      </w:tr>
      <w:tr w:rsidR="009A3C5D" w:rsidRPr="006147E5" w14:paraId="07FABAE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27F879B0" w14:textId="77777777" w:rsidR="003331FA" w:rsidRPr="006147E5" w:rsidRDefault="00000000" w:rsidP="005F58E3">
            <w:pPr>
              <w:rPr>
                <w:rFonts w:ascii="Tahoma" w:hAnsi="Tahoma" w:cs="Tahoma"/>
                <w:color w:val="000000"/>
                <w:sz w:val="16"/>
                <w:szCs w:val="16"/>
              </w:rPr>
            </w:pPr>
            <w:r w:rsidRPr="006147E5">
              <w:rPr>
                <w:rFonts w:ascii="Tahoma" w:hAnsi="Tahoma" w:cs="Tahoma"/>
                <w:color w:val="000000"/>
                <w:sz w:val="16"/>
                <w:szCs w:val="16"/>
              </w:rPr>
              <w:t>Une (1) CAL Employee Self Service (ESS) Microsoft Dynamics CRM 2011</w:t>
            </w:r>
          </w:p>
          <w:p w14:paraId="02611980" w14:textId="77777777" w:rsidR="003331FA" w:rsidRPr="006147E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21BFEB1" w14:textId="77777777" w:rsidR="003331FA" w:rsidRPr="006147E5" w:rsidRDefault="00000000" w:rsidP="005F58E3">
            <w:pPr>
              <w:pStyle w:val="ProductList-Body"/>
              <w:rPr>
                <w:rFonts w:ascii="Tahoma" w:hAnsi="Tahoma" w:cs="Tahoma"/>
                <w:color w:val="000000"/>
                <w:sz w:val="16"/>
                <w:szCs w:val="16"/>
              </w:rPr>
            </w:pPr>
            <w:r w:rsidRPr="006147E5">
              <w:rPr>
                <w:rFonts w:ascii="Tahoma" w:hAnsi="Tahoma" w:cs="Tahoma"/>
                <w:color w:val="000000"/>
                <w:sz w:val="16"/>
                <w:szCs w:val="16"/>
              </w:rPr>
              <w:t>Une (1) CAL Essentielle Microsoft Dynamics CRM 2013/2015/2016 ou</w:t>
            </w:r>
          </w:p>
          <w:p w14:paraId="6706B92C" w14:textId="77777777" w:rsidR="003331FA" w:rsidRPr="006147E5" w:rsidRDefault="00000000" w:rsidP="005F58E3">
            <w:pPr>
              <w:pStyle w:val="ProductList-Body"/>
              <w:rPr>
                <w:rFonts w:ascii="Tahoma" w:hAnsi="Tahoma" w:cs="Tahoma"/>
                <w:color w:val="000000"/>
                <w:sz w:val="16"/>
                <w:szCs w:val="16"/>
              </w:rPr>
            </w:pPr>
            <w:r w:rsidRPr="006147E5">
              <w:rPr>
                <w:rFonts w:ascii="Tahoma" w:hAnsi="Tahoma" w:cs="Tahoma"/>
                <w:color w:val="000000"/>
                <w:sz w:val="16"/>
                <w:szCs w:val="16"/>
              </w:rPr>
              <w:t>Une (1) CAL Essentielle Microsoft Dynamics CRM 2013/2015/2016 et</w:t>
            </w:r>
            <w:r w:rsidRPr="006147E5">
              <w:rPr>
                <w:rFonts w:ascii="Tahoma" w:hAnsi="Tahoma" w:cs="Tahoma"/>
              </w:rPr>
              <w:br/>
            </w:r>
            <w:r w:rsidRPr="006147E5">
              <w:rPr>
                <w:rFonts w:ascii="Tahoma" w:hAnsi="Tahoma" w:cs="Tahoma"/>
                <w:color w:val="000000"/>
                <w:sz w:val="16"/>
                <w:szCs w:val="16"/>
              </w:rPr>
              <w:t>une (1) CAL Supplémentaire Utilisation Basique Microsoft Dynamics CRM 2013/2015/2016</w:t>
            </w:r>
          </w:p>
        </w:tc>
      </w:tr>
      <w:tr w:rsidR="009A3C5D" w:rsidRPr="006147E5" w14:paraId="7956DCD9" w14:textId="77777777" w:rsidTr="00D80F55">
        <w:trPr>
          <w:trHeight w:val="216"/>
        </w:trPr>
        <w:tc>
          <w:tcPr>
            <w:tcW w:w="5400" w:type="dxa"/>
            <w:tcMar>
              <w:top w:w="0" w:type="dxa"/>
              <w:left w:w="108" w:type="dxa"/>
              <w:bottom w:w="0" w:type="dxa"/>
              <w:right w:w="108" w:type="dxa"/>
            </w:tcMar>
            <w:hideMark/>
          </w:tcPr>
          <w:p w14:paraId="38E11BAA" w14:textId="77777777" w:rsidR="003331FA" w:rsidRPr="006147E5" w:rsidRDefault="00000000" w:rsidP="003331FA">
            <w:pPr>
              <w:pStyle w:val="ProductList-Body"/>
              <w:rPr>
                <w:rFonts w:ascii="Tahoma" w:hAnsi="Tahoma" w:cs="Tahoma"/>
                <w:color w:val="000000"/>
                <w:sz w:val="16"/>
                <w:szCs w:val="16"/>
              </w:rPr>
            </w:pPr>
            <w:r w:rsidRPr="006147E5">
              <w:rPr>
                <w:rFonts w:ascii="Tahoma" w:hAnsi="Tahoma" w:cs="Tahoma"/>
                <w:color w:val="000000"/>
                <w:sz w:val="16"/>
                <w:szCs w:val="16"/>
              </w:rPr>
              <w:t>Une (1) CAL Supplémentaire Utilisation Limitée Microsoft Dynamics CRM 2011</w:t>
            </w:r>
          </w:p>
          <w:p w14:paraId="2EEF2A3E" w14:textId="77777777" w:rsidR="003331FA" w:rsidRPr="006147E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8344C10" w14:textId="77777777" w:rsidR="003331FA" w:rsidRPr="006147E5" w:rsidRDefault="00000000" w:rsidP="003331FA">
            <w:pPr>
              <w:pStyle w:val="ProductList-Body"/>
              <w:rPr>
                <w:rFonts w:ascii="Tahoma" w:hAnsi="Tahoma" w:cs="Tahoma"/>
                <w:color w:val="000000"/>
                <w:sz w:val="16"/>
                <w:szCs w:val="16"/>
              </w:rPr>
            </w:pPr>
            <w:r w:rsidRPr="006147E5">
              <w:rPr>
                <w:rFonts w:ascii="Tahoma" w:hAnsi="Tahoma" w:cs="Tahoma"/>
                <w:color w:val="000000"/>
                <w:sz w:val="16"/>
                <w:szCs w:val="16"/>
              </w:rPr>
              <w:t>Une (1) CAL Supplémentaire Utilisation Basique Microsoft Dynamics CRM 2013/2015/2016</w:t>
            </w:r>
          </w:p>
        </w:tc>
      </w:tr>
      <w:tr w:rsidR="009A3C5D" w:rsidRPr="006147E5" w14:paraId="3B92C185" w14:textId="77777777" w:rsidTr="00D80F55">
        <w:trPr>
          <w:trHeight w:val="216"/>
        </w:trPr>
        <w:tc>
          <w:tcPr>
            <w:tcW w:w="5400" w:type="dxa"/>
            <w:tcMar>
              <w:top w:w="0" w:type="dxa"/>
              <w:left w:w="108" w:type="dxa"/>
              <w:bottom w:w="0" w:type="dxa"/>
              <w:right w:w="108" w:type="dxa"/>
            </w:tcMar>
            <w:hideMark/>
          </w:tcPr>
          <w:p w14:paraId="14636546" w14:textId="77777777" w:rsidR="003331FA" w:rsidRPr="006147E5" w:rsidRDefault="00000000" w:rsidP="003331FA">
            <w:pPr>
              <w:pStyle w:val="ProductList-Body"/>
              <w:rPr>
                <w:rFonts w:ascii="Tahoma" w:hAnsi="Tahoma" w:cs="Tahoma"/>
                <w:color w:val="000000"/>
                <w:sz w:val="16"/>
                <w:szCs w:val="16"/>
              </w:rPr>
            </w:pPr>
            <w:r w:rsidRPr="006147E5">
              <w:rPr>
                <w:rFonts w:ascii="Tahoma" w:hAnsi="Tahoma" w:cs="Tahoma"/>
                <w:color w:val="000000"/>
                <w:sz w:val="16"/>
                <w:szCs w:val="16"/>
              </w:rPr>
              <w:t>Une (1) CAL Supplémentaire Utilisation Complète Microsoft Dynamics CRM 2011</w:t>
            </w:r>
          </w:p>
          <w:p w14:paraId="4430EC65" w14:textId="77777777" w:rsidR="003331FA" w:rsidRPr="006147E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3E9C0D9" w14:textId="77777777" w:rsidR="003331FA" w:rsidRPr="006147E5" w:rsidRDefault="00000000" w:rsidP="003331FA">
            <w:pPr>
              <w:pStyle w:val="ProductList-Body"/>
              <w:rPr>
                <w:rFonts w:ascii="Tahoma" w:hAnsi="Tahoma" w:cs="Tahoma"/>
                <w:color w:val="000000"/>
                <w:sz w:val="16"/>
                <w:szCs w:val="16"/>
              </w:rPr>
            </w:pPr>
            <w:r w:rsidRPr="006147E5">
              <w:rPr>
                <w:rFonts w:ascii="Tahoma" w:hAnsi="Tahoma" w:cs="Tahoma"/>
                <w:color w:val="000000"/>
                <w:sz w:val="16"/>
                <w:szCs w:val="16"/>
              </w:rPr>
              <w:t>Une (1) CAL Supplémentaire Utilisation Professionnelle Microsoft Dynamics CRM 2013/2015/2016 ou</w:t>
            </w:r>
          </w:p>
          <w:p w14:paraId="59981CB9" w14:textId="77777777" w:rsidR="003331FA" w:rsidRPr="006147E5" w:rsidRDefault="00000000" w:rsidP="000A241A">
            <w:pPr>
              <w:rPr>
                <w:rFonts w:ascii="Tahoma" w:hAnsi="Tahoma" w:cs="Tahoma"/>
                <w:color w:val="000000"/>
                <w:sz w:val="16"/>
                <w:szCs w:val="16"/>
                <w:vertAlign w:val="superscript"/>
              </w:rPr>
            </w:pPr>
            <w:r w:rsidRPr="006147E5">
              <w:rPr>
                <w:rFonts w:ascii="Tahoma" w:hAnsi="Tahoma" w:cs="Tahoma"/>
                <w:color w:val="000000"/>
                <w:sz w:val="16"/>
                <w:szCs w:val="16"/>
              </w:rPr>
              <w:t>Une (1) CAL Supplémentaire Utilisation Basique Microsoft Dynamics CRM 2013/2015/2016</w:t>
            </w:r>
            <w:r w:rsidRPr="006147E5">
              <w:rPr>
                <w:rFonts w:ascii="Tahoma" w:hAnsi="Tahoma" w:cs="Tahoma"/>
                <w:color w:val="000000"/>
                <w:sz w:val="16"/>
                <w:szCs w:val="16"/>
                <w:vertAlign w:val="superscript"/>
              </w:rPr>
              <w:t>1</w:t>
            </w:r>
          </w:p>
        </w:tc>
      </w:tr>
      <w:tr w:rsidR="009A3C5D" w:rsidRPr="006147E5" w14:paraId="303BDEBF" w14:textId="77777777" w:rsidTr="00D80F55">
        <w:trPr>
          <w:trHeight w:val="216"/>
        </w:trPr>
        <w:tc>
          <w:tcPr>
            <w:tcW w:w="5400" w:type="dxa"/>
            <w:tcMar>
              <w:top w:w="0" w:type="dxa"/>
              <w:left w:w="108" w:type="dxa"/>
              <w:bottom w:w="0" w:type="dxa"/>
              <w:right w:w="108" w:type="dxa"/>
            </w:tcMar>
            <w:hideMark/>
          </w:tcPr>
          <w:p w14:paraId="0816DCC4" w14:textId="77777777" w:rsidR="003331FA" w:rsidRPr="006147E5" w:rsidRDefault="00000000" w:rsidP="003331FA">
            <w:pPr>
              <w:pStyle w:val="ProductList-Body"/>
              <w:rPr>
                <w:rFonts w:ascii="Tahoma" w:hAnsi="Tahoma" w:cs="Tahoma"/>
                <w:color w:val="000000"/>
                <w:sz w:val="16"/>
                <w:szCs w:val="16"/>
              </w:rPr>
            </w:pPr>
            <w:r w:rsidRPr="006147E5">
              <w:rPr>
                <w:rFonts w:ascii="Tahoma" w:hAnsi="Tahoma" w:cs="Tahoma"/>
                <w:color w:val="000000"/>
                <w:sz w:val="16"/>
                <w:szCs w:val="16"/>
              </w:rPr>
              <w:t>Un (1) Connecteur Externe Microsoft Dynamics CRM 2011</w:t>
            </w:r>
          </w:p>
          <w:p w14:paraId="70200FAF" w14:textId="77777777" w:rsidR="003331FA" w:rsidRPr="006147E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1906AD87" w14:textId="77777777" w:rsidR="003331FA" w:rsidRPr="006147E5" w:rsidRDefault="00000000" w:rsidP="003331FA">
            <w:pPr>
              <w:pStyle w:val="ProductList-Body"/>
              <w:rPr>
                <w:rFonts w:ascii="Tahoma" w:hAnsi="Tahoma" w:cs="Tahoma"/>
                <w:color w:val="000000"/>
                <w:sz w:val="16"/>
                <w:szCs w:val="16"/>
              </w:rPr>
            </w:pPr>
            <w:r w:rsidRPr="006147E5">
              <w:rPr>
                <w:rFonts w:ascii="Tahoma" w:hAnsi="Tahoma" w:cs="Tahoma"/>
                <w:color w:val="000000"/>
                <w:sz w:val="16"/>
                <w:szCs w:val="16"/>
              </w:rPr>
              <w:t>Aucune. La licence CRM Server 2013/2015/2016 confère les droits d’utilisation relatifs aux Connecteurs Externes</w:t>
            </w:r>
          </w:p>
        </w:tc>
      </w:tr>
    </w:tbl>
    <w:p w14:paraId="03DD22E7" w14:textId="77777777" w:rsidR="003331FA" w:rsidRPr="006147E5" w:rsidRDefault="00000000" w:rsidP="005F58E3">
      <w:pPr>
        <w:rPr>
          <w:rFonts w:ascii="Tahoma" w:eastAsiaTheme="minorHAnsi" w:hAnsi="Tahoma" w:cs="Tahoma"/>
          <w:color w:val="000000"/>
          <w:sz w:val="16"/>
          <w:szCs w:val="16"/>
        </w:rPr>
      </w:pPr>
      <w:r w:rsidRPr="006147E5">
        <w:rPr>
          <w:rFonts w:ascii="Tahoma" w:hAnsi="Tahoma" w:cs="Tahoma"/>
          <w:color w:val="000000"/>
          <w:sz w:val="16"/>
          <w:szCs w:val="16"/>
          <w:vertAlign w:val="superscript"/>
        </w:rPr>
        <w:t>1</w:t>
      </w:r>
      <w:r w:rsidRPr="006147E5">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55909F67" w14:textId="77777777" w:rsidR="00EB0883" w:rsidRPr="006147E5" w:rsidRDefault="00EB0883" w:rsidP="001502EC">
      <w:pPr>
        <w:tabs>
          <w:tab w:val="left" w:pos="0"/>
        </w:tabs>
        <w:spacing w:before="120" w:after="120"/>
        <w:rPr>
          <w:rFonts w:ascii="Tahoma" w:hAnsi="Tahoma" w:cs="Tahoma"/>
          <w:iCs/>
          <w:color w:val="000000"/>
        </w:rPr>
      </w:pPr>
    </w:p>
    <w:p w14:paraId="2840280F" w14:textId="77777777" w:rsidR="00F77865" w:rsidRPr="006147E5" w:rsidRDefault="00000000" w:rsidP="00662805">
      <w:pPr>
        <w:keepNext/>
        <w:spacing w:before="120" w:after="120"/>
        <w:jc w:val="both"/>
        <w:rPr>
          <w:rFonts w:ascii="Tahoma" w:hAnsi="Tahoma" w:cs="Tahoma"/>
          <w:b/>
        </w:rPr>
      </w:pPr>
      <w:r w:rsidRPr="006147E5">
        <w:rPr>
          <w:rFonts w:ascii="Tahoma" w:hAnsi="Tahoma" w:cs="Tahoma"/>
          <w:b/>
        </w:rPr>
        <w:t>Applications Office 2024</w:t>
      </w:r>
    </w:p>
    <w:p w14:paraId="404D81AB" w14:textId="77777777" w:rsidR="00F77865" w:rsidRPr="006147E5" w:rsidRDefault="00000000" w:rsidP="00287A1E">
      <w:pPr>
        <w:spacing w:before="120" w:after="120"/>
        <w:rPr>
          <w:rFonts w:ascii="Tahoma" w:hAnsi="Tahoma" w:cs="Tahoma"/>
        </w:rPr>
      </w:pPr>
      <w:r w:rsidRPr="006147E5">
        <w:rPr>
          <w:rFonts w:ascii="Tahoma" w:hAnsi="Tahoma" w:cs="Tahoma"/>
        </w:rPr>
        <w:t>Office LTSC 2024 est la dernière version des produits Office. Les clients disposant d’une Maintenance Intégrée active pour les applications Office LTSC 2021 peuvent se mettre à jour vers et distribuer les applications Office LTSC 2024 à la place des copies des applications Office LTSC 2021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3C5D" w:rsidRPr="006147E5" w14:paraId="35E4FC8E"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8745C21" w14:textId="77777777" w:rsidR="00F77865" w:rsidRPr="006147E5" w:rsidRDefault="00000000" w:rsidP="00D80F55">
            <w:pPr>
              <w:jc w:val="center"/>
              <w:rPr>
                <w:rFonts w:ascii="Tahoma" w:hAnsi="Tahoma" w:cs="Tahoma"/>
                <w:b/>
                <w:bCs/>
                <w:sz w:val="18"/>
                <w:szCs w:val="18"/>
                <w:lang w:val="pt-BR"/>
              </w:rPr>
            </w:pPr>
            <w:r w:rsidRPr="006147E5">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FF441E" w14:textId="77777777" w:rsidR="00F77865" w:rsidRPr="006147E5" w:rsidRDefault="00000000" w:rsidP="00D80F55">
            <w:pPr>
              <w:jc w:val="center"/>
              <w:rPr>
                <w:rStyle w:val="Hyperlink"/>
                <w:rFonts w:ascii="Tahoma" w:hAnsi="Tahoma" w:cs="Tahoma"/>
                <w:b/>
                <w:bCs/>
                <w:iCs/>
                <w:color w:val="auto"/>
                <w:sz w:val="18"/>
                <w:szCs w:val="18"/>
                <w:u w:val="none"/>
                <w:lang w:val="pt-BR"/>
              </w:rPr>
            </w:pPr>
            <w:r w:rsidRPr="006147E5">
              <w:rPr>
                <w:rFonts w:ascii="Tahoma" w:hAnsi="Tahoma" w:cs="Tahoma"/>
                <w:b/>
                <w:bCs/>
                <w:sz w:val="18"/>
                <w:szCs w:val="18"/>
              </w:rPr>
              <w:t>Licence Éligible</w:t>
            </w:r>
          </w:p>
        </w:tc>
      </w:tr>
      <w:tr w:rsidR="009A3C5D" w:rsidRPr="006147E5" w14:paraId="68FD777E"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B99C45"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Access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7ACBDE2"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Access LTSC 2024</w:t>
            </w:r>
          </w:p>
        </w:tc>
      </w:tr>
      <w:tr w:rsidR="009A3C5D" w:rsidRPr="006147E5" w14:paraId="6A39B55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DE084B"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Excel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F11831"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Excel LTSC 2024</w:t>
            </w:r>
          </w:p>
        </w:tc>
      </w:tr>
      <w:tr w:rsidR="009A3C5D" w:rsidRPr="006147E5" w14:paraId="6BF03E4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2EEA485"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Office LTSC Professionnel Plus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2A5AF5"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Office LTSC Professionnel Plus 2024</w:t>
            </w:r>
          </w:p>
        </w:tc>
      </w:tr>
      <w:tr w:rsidR="009A3C5D" w:rsidRPr="006147E5" w14:paraId="14F30D6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A91D207"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Outlook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7334536"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Outlook LTSC 2024</w:t>
            </w:r>
          </w:p>
        </w:tc>
      </w:tr>
      <w:tr w:rsidR="009A3C5D" w:rsidRPr="006147E5" w14:paraId="7CCC6D7C"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55C14B"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PowerPoint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3E53FC6"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PowerPoint LTSC 2024</w:t>
            </w:r>
          </w:p>
        </w:tc>
      </w:tr>
      <w:tr w:rsidR="009A3C5D" w:rsidRPr="006147E5" w14:paraId="5E2ECC1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913717"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Project Professionnel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2FB4FBC"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Project Professionnel 2021</w:t>
            </w:r>
          </w:p>
        </w:tc>
      </w:tr>
      <w:tr w:rsidR="009A3C5D" w:rsidRPr="006147E5" w14:paraId="2BFE749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45884AB"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2E666B2"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Project Standard 2021</w:t>
            </w:r>
          </w:p>
        </w:tc>
      </w:tr>
      <w:tr w:rsidR="009A3C5D" w:rsidRPr="006147E5" w14:paraId="0B8073B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BCB61A0"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46D2DBD"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Publisher LTSC 2021</w:t>
            </w:r>
          </w:p>
        </w:tc>
      </w:tr>
      <w:tr w:rsidR="009A3C5D" w:rsidRPr="006147E5" w14:paraId="72D5970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9E50FD2"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Visio LTSC 2021 Édition Professionnelle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39CD649"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Visio LTSC 2024 Édition Professionnelle</w:t>
            </w:r>
          </w:p>
        </w:tc>
      </w:tr>
      <w:tr w:rsidR="009A3C5D" w:rsidRPr="006147E5" w14:paraId="2127ECE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71069C0"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Visio LTSC Standard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59BD5"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Visio LTSC Standard 2024</w:t>
            </w:r>
          </w:p>
        </w:tc>
      </w:tr>
      <w:tr w:rsidR="009A3C5D" w:rsidRPr="006147E5" w14:paraId="5268E63E"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3B75DEA" w14:textId="77777777" w:rsidR="005C74AE" w:rsidRPr="006147E5" w:rsidRDefault="00000000" w:rsidP="005C74AE">
            <w:pPr>
              <w:rPr>
                <w:rFonts w:ascii="Tahoma" w:hAnsi="Tahoma" w:cs="Tahoma"/>
                <w:bCs/>
                <w:sz w:val="16"/>
                <w:szCs w:val="16"/>
              </w:rPr>
            </w:pPr>
            <w:r w:rsidRPr="006147E5">
              <w:rPr>
                <w:rFonts w:ascii="Tahoma" w:hAnsi="Tahoma" w:cs="Tahoma"/>
                <w:bCs/>
                <w:sz w:val="16"/>
                <w:szCs w:val="19"/>
              </w:rPr>
              <w:t>Word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C9A9C3E" w14:textId="77777777" w:rsidR="005C74AE" w:rsidRPr="006147E5" w:rsidRDefault="00000000" w:rsidP="005C74AE">
            <w:pPr>
              <w:rPr>
                <w:rFonts w:ascii="Tahoma" w:hAnsi="Tahoma" w:cs="Tahoma"/>
                <w:bCs/>
                <w:sz w:val="16"/>
                <w:szCs w:val="16"/>
                <w:lang w:val="pt-BR"/>
              </w:rPr>
            </w:pPr>
            <w:r w:rsidRPr="006147E5">
              <w:rPr>
                <w:rFonts w:ascii="Tahoma" w:hAnsi="Tahoma" w:cs="Tahoma"/>
                <w:bCs/>
                <w:sz w:val="16"/>
                <w:szCs w:val="19"/>
              </w:rPr>
              <w:t>Word LTSC 2024</w:t>
            </w:r>
          </w:p>
        </w:tc>
      </w:tr>
    </w:tbl>
    <w:p w14:paraId="1D55ABC5" w14:textId="77777777" w:rsidR="00E43388" w:rsidRPr="006147E5" w:rsidRDefault="00E43388" w:rsidP="00662805">
      <w:pPr>
        <w:tabs>
          <w:tab w:val="left" w:pos="0"/>
        </w:tabs>
        <w:spacing w:before="120" w:after="120"/>
        <w:rPr>
          <w:rFonts w:ascii="Tahoma" w:hAnsi="Tahoma" w:cs="Tahoma"/>
          <w:iCs/>
          <w:color w:val="000000"/>
        </w:rPr>
      </w:pPr>
    </w:p>
    <w:p w14:paraId="7AAB76D6" w14:textId="77777777" w:rsidR="00DF3CB9" w:rsidRPr="006147E5" w:rsidRDefault="00000000" w:rsidP="00DF3CB9">
      <w:pPr>
        <w:spacing w:before="120" w:after="120"/>
        <w:jc w:val="both"/>
        <w:rPr>
          <w:rFonts w:ascii="Tahoma" w:hAnsi="Tahoma" w:cs="Tahoma"/>
          <w:b/>
        </w:rPr>
      </w:pPr>
      <w:bookmarkStart w:id="5" w:name="SQLServer"/>
      <w:r w:rsidRPr="006147E5">
        <w:rPr>
          <w:rFonts w:ascii="Tahoma" w:hAnsi="Tahoma" w:cs="Tahoma"/>
          <w:b/>
        </w:rPr>
        <w:t>Serveurs Office 2019</w:t>
      </w:r>
    </w:p>
    <w:p w14:paraId="1EFADA84" w14:textId="77777777" w:rsidR="00DF3CB9" w:rsidRPr="006147E5" w:rsidRDefault="00000000" w:rsidP="00DF3CB9">
      <w:pPr>
        <w:spacing w:before="120" w:after="120"/>
        <w:rPr>
          <w:rFonts w:ascii="Tahoma" w:hAnsi="Tahoma" w:cs="Tahoma"/>
        </w:rPr>
      </w:pPr>
      <w:r w:rsidRPr="006147E5">
        <w:rPr>
          <w:rFonts w:ascii="Tahoma" w:hAnsi="Tahoma" w:cs="Tahoma"/>
        </w:rPr>
        <w:t>2019 est la dernière version des Serveurs Office (Exchange Server 2019, Project Server 2019, SharePoint Serve 2019 et Skype Entreprise 2019). Les Clients disposant d’une offre de Maintenance Intégrée active pour les versions 2016/2015 de ces serveurs peuvent se mettre à jour vers et distribuer les versions 2019 à la place des copies des versions 2016/2016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3C5D" w:rsidRPr="006147E5" w14:paraId="5803CB3A"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89DCDA7" w14:textId="77777777" w:rsidR="00DF3CB9" w:rsidRPr="006147E5" w:rsidRDefault="00000000" w:rsidP="005D5C97">
            <w:pPr>
              <w:jc w:val="center"/>
              <w:rPr>
                <w:rFonts w:ascii="Tahoma" w:hAnsi="Tahoma" w:cs="Tahoma"/>
                <w:b/>
                <w:bCs/>
                <w:sz w:val="18"/>
                <w:szCs w:val="18"/>
                <w:lang w:val="pt-BR"/>
              </w:rPr>
            </w:pPr>
            <w:r w:rsidRPr="006147E5">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8E72F05" w14:textId="77777777" w:rsidR="00DF3CB9" w:rsidRPr="006147E5" w:rsidRDefault="00000000" w:rsidP="005D5C97">
            <w:pPr>
              <w:jc w:val="center"/>
              <w:rPr>
                <w:rStyle w:val="Hyperlink"/>
                <w:rFonts w:ascii="Tahoma" w:hAnsi="Tahoma" w:cs="Tahoma"/>
                <w:b/>
                <w:bCs/>
                <w:iCs/>
                <w:sz w:val="18"/>
                <w:szCs w:val="18"/>
                <w:lang w:val="pt-BR"/>
              </w:rPr>
            </w:pPr>
            <w:r w:rsidRPr="006147E5">
              <w:rPr>
                <w:rFonts w:ascii="Tahoma" w:hAnsi="Tahoma" w:cs="Tahoma"/>
                <w:b/>
                <w:bCs/>
                <w:sz w:val="18"/>
                <w:szCs w:val="18"/>
              </w:rPr>
              <w:t>Licence Éligible</w:t>
            </w:r>
          </w:p>
        </w:tc>
      </w:tr>
      <w:tr w:rsidR="009A3C5D" w:rsidRPr="006147E5" w14:paraId="4B811780"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4984604" w14:textId="77777777" w:rsidR="00DF3CB9" w:rsidRPr="006147E5" w:rsidRDefault="00000000" w:rsidP="005D5C97">
            <w:pPr>
              <w:rPr>
                <w:rFonts w:ascii="Tahoma" w:hAnsi="Tahoma" w:cs="Tahoma"/>
                <w:sz w:val="16"/>
                <w:lang w:val="nb-NO"/>
              </w:rPr>
            </w:pPr>
            <w:r w:rsidRPr="006147E5">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0C2C80C" w14:textId="77777777" w:rsidR="00DF3CB9" w:rsidRPr="006147E5" w:rsidRDefault="00000000" w:rsidP="005D5C97">
            <w:pPr>
              <w:rPr>
                <w:rFonts w:ascii="Tahoma" w:hAnsi="Tahoma" w:cs="Tahoma"/>
                <w:sz w:val="16"/>
                <w:lang w:val="nb-NO"/>
              </w:rPr>
            </w:pPr>
            <w:r w:rsidRPr="006147E5">
              <w:rPr>
                <w:rFonts w:ascii="Tahoma" w:hAnsi="Tahoma" w:cs="Tahoma"/>
                <w:sz w:val="16"/>
              </w:rPr>
              <w:t>Exchange Server 2019 Standard et Entreprise</w:t>
            </w:r>
          </w:p>
        </w:tc>
      </w:tr>
      <w:tr w:rsidR="009A3C5D" w:rsidRPr="006147E5" w14:paraId="46EFB2C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6F6A9C" w14:textId="77777777" w:rsidR="00DF3CB9" w:rsidRPr="006147E5" w:rsidRDefault="00000000" w:rsidP="005D5C97">
            <w:pPr>
              <w:rPr>
                <w:rFonts w:ascii="Tahoma" w:hAnsi="Tahoma" w:cs="Tahoma"/>
                <w:bCs/>
                <w:sz w:val="16"/>
                <w:szCs w:val="19"/>
                <w:lang w:val="pt-BR"/>
              </w:rPr>
            </w:pPr>
            <w:r w:rsidRPr="006147E5">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59B132" w14:textId="77777777" w:rsidR="00DF3CB9" w:rsidRPr="006147E5" w:rsidRDefault="00000000" w:rsidP="005D5C97">
            <w:pPr>
              <w:rPr>
                <w:rFonts w:ascii="Tahoma" w:hAnsi="Tahoma" w:cs="Tahoma"/>
                <w:bCs/>
                <w:sz w:val="16"/>
                <w:szCs w:val="19"/>
                <w:lang w:val="pt-BR"/>
              </w:rPr>
            </w:pPr>
            <w:r w:rsidRPr="006147E5">
              <w:rPr>
                <w:rFonts w:ascii="Tahoma" w:hAnsi="Tahoma" w:cs="Tahoma"/>
                <w:bCs/>
                <w:sz w:val="16"/>
                <w:szCs w:val="19"/>
              </w:rPr>
              <w:t>Project Server 2019</w:t>
            </w:r>
          </w:p>
        </w:tc>
      </w:tr>
      <w:tr w:rsidR="009A3C5D" w:rsidRPr="006147E5" w14:paraId="4AB74BF8"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AAD150" w14:textId="77777777" w:rsidR="00DF3CB9" w:rsidRPr="006147E5" w:rsidRDefault="00000000" w:rsidP="005D5C97">
            <w:pPr>
              <w:rPr>
                <w:rFonts w:ascii="Tahoma" w:hAnsi="Tahoma" w:cs="Tahoma"/>
                <w:bCs/>
                <w:sz w:val="16"/>
                <w:szCs w:val="19"/>
                <w:lang w:val="pt-BR"/>
              </w:rPr>
            </w:pPr>
            <w:r w:rsidRPr="006147E5">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2CD369" w14:textId="77777777" w:rsidR="00DF3CB9" w:rsidRPr="006147E5" w:rsidRDefault="00000000" w:rsidP="005D5C97">
            <w:pPr>
              <w:rPr>
                <w:rFonts w:ascii="Tahoma" w:hAnsi="Tahoma" w:cs="Tahoma"/>
                <w:bCs/>
                <w:sz w:val="16"/>
                <w:szCs w:val="19"/>
                <w:lang w:val="pt-BR"/>
              </w:rPr>
            </w:pPr>
            <w:r w:rsidRPr="006147E5">
              <w:rPr>
                <w:rFonts w:ascii="Tahoma" w:hAnsi="Tahoma" w:cs="Tahoma"/>
                <w:bCs/>
                <w:sz w:val="16"/>
                <w:szCs w:val="19"/>
              </w:rPr>
              <w:t>SharePoint Server 2019</w:t>
            </w:r>
          </w:p>
        </w:tc>
      </w:tr>
      <w:tr w:rsidR="009A3C5D" w:rsidRPr="006147E5" w14:paraId="1AB8F527"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A475A" w14:textId="77777777" w:rsidR="00DF3CB9" w:rsidRPr="006147E5" w:rsidRDefault="00000000" w:rsidP="005D5C97">
            <w:pPr>
              <w:rPr>
                <w:rFonts w:ascii="Tahoma" w:hAnsi="Tahoma" w:cs="Tahoma"/>
                <w:bCs/>
                <w:sz w:val="16"/>
                <w:szCs w:val="19"/>
                <w:lang w:val="pt-BR"/>
              </w:rPr>
            </w:pPr>
            <w:r w:rsidRPr="006147E5">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AC034DD" w14:textId="77777777" w:rsidR="00DF3CB9" w:rsidRPr="006147E5" w:rsidRDefault="00000000" w:rsidP="005D5C97">
            <w:pPr>
              <w:rPr>
                <w:rFonts w:ascii="Tahoma" w:hAnsi="Tahoma" w:cs="Tahoma"/>
                <w:bCs/>
                <w:sz w:val="16"/>
                <w:szCs w:val="19"/>
                <w:lang w:val="pt-BR"/>
              </w:rPr>
            </w:pPr>
            <w:r w:rsidRPr="006147E5">
              <w:rPr>
                <w:rFonts w:ascii="Tahoma" w:hAnsi="Tahoma" w:cs="Tahoma"/>
                <w:bCs/>
                <w:sz w:val="16"/>
                <w:szCs w:val="19"/>
              </w:rPr>
              <w:t>Skype Entreprise Server 2019</w:t>
            </w:r>
          </w:p>
        </w:tc>
      </w:tr>
      <w:tr w:rsidR="009A3C5D" w:rsidRPr="006147E5" w14:paraId="03B32BF4"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4A19E1A" w14:textId="77777777" w:rsidR="00DF3CB9" w:rsidRPr="006147E5" w:rsidRDefault="00000000" w:rsidP="005D5C97">
            <w:pPr>
              <w:rPr>
                <w:rFonts w:ascii="Tahoma" w:hAnsi="Tahoma" w:cs="Tahoma"/>
                <w:bCs/>
                <w:sz w:val="16"/>
                <w:szCs w:val="19"/>
              </w:rPr>
            </w:pPr>
            <w:r w:rsidRPr="006147E5">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73B297C" w14:textId="77777777" w:rsidR="00DF3CB9" w:rsidRPr="006147E5" w:rsidRDefault="00000000" w:rsidP="005D5C97">
            <w:pPr>
              <w:rPr>
                <w:rFonts w:ascii="Tahoma" w:hAnsi="Tahoma" w:cs="Tahoma"/>
                <w:bCs/>
                <w:sz w:val="16"/>
                <w:szCs w:val="19"/>
              </w:rPr>
            </w:pPr>
            <w:r w:rsidRPr="006147E5">
              <w:rPr>
                <w:rFonts w:ascii="Tahoma" w:hAnsi="Tahoma" w:cs="Tahoma"/>
                <w:bCs/>
                <w:sz w:val="16"/>
                <w:szCs w:val="19"/>
              </w:rPr>
              <w:t>CAL Plus Skype Entreprise Server 2019</w:t>
            </w:r>
          </w:p>
        </w:tc>
      </w:tr>
      <w:tr w:rsidR="009A3C5D" w:rsidRPr="006147E5" w14:paraId="6C6D3AF5"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A9E212" w14:textId="77777777" w:rsidR="00DF3CB9" w:rsidRPr="006147E5" w:rsidRDefault="00000000" w:rsidP="005D5C97">
            <w:pPr>
              <w:rPr>
                <w:rFonts w:ascii="Tahoma" w:hAnsi="Tahoma" w:cs="Tahoma"/>
                <w:bCs/>
                <w:sz w:val="16"/>
                <w:szCs w:val="19"/>
              </w:rPr>
            </w:pPr>
            <w:r w:rsidRPr="006147E5">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F528962" w14:textId="77777777" w:rsidR="00DF3CB9" w:rsidRPr="006147E5" w:rsidRDefault="00000000" w:rsidP="005D5C97">
            <w:pPr>
              <w:rPr>
                <w:rFonts w:ascii="Tahoma" w:hAnsi="Tahoma" w:cs="Tahoma"/>
                <w:bCs/>
                <w:sz w:val="16"/>
                <w:szCs w:val="19"/>
              </w:rPr>
            </w:pPr>
            <w:r w:rsidRPr="006147E5">
              <w:rPr>
                <w:rFonts w:ascii="Tahoma" w:hAnsi="Tahoma" w:cs="Tahoma"/>
                <w:bCs/>
                <w:sz w:val="16"/>
                <w:szCs w:val="19"/>
              </w:rPr>
              <w:t>CAL Entreprise Skype Entreprise Server 2019</w:t>
            </w:r>
          </w:p>
        </w:tc>
      </w:tr>
      <w:tr w:rsidR="009A3C5D" w:rsidRPr="006147E5" w14:paraId="733F56D4"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57BB859" w14:textId="77777777" w:rsidR="00DF3CB9" w:rsidRPr="006147E5" w:rsidRDefault="00000000" w:rsidP="005D5C97">
            <w:pPr>
              <w:rPr>
                <w:rFonts w:ascii="Tahoma" w:hAnsi="Tahoma" w:cs="Tahoma"/>
                <w:bCs/>
                <w:sz w:val="16"/>
                <w:szCs w:val="19"/>
              </w:rPr>
            </w:pPr>
            <w:r w:rsidRPr="006147E5">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65C052C" w14:textId="77777777" w:rsidR="00DF3CB9" w:rsidRPr="006147E5" w:rsidRDefault="00000000" w:rsidP="005D5C97">
            <w:pPr>
              <w:rPr>
                <w:rFonts w:ascii="Tahoma" w:hAnsi="Tahoma" w:cs="Tahoma"/>
                <w:bCs/>
                <w:sz w:val="16"/>
                <w:szCs w:val="19"/>
              </w:rPr>
            </w:pPr>
            <w:r w:rsidRPr="006147E5">
              <w:rPr>
                <w:rFonts w:ascii="Tahoma" w:hAnsi="Tahoma" w:cs="Tahoma"/>
                <w:bCs/>
                <w:sz w:val="16"/>
                <w:szCs w:val="19"/>
              </w:rPr>
              <w:t>CAL Standard Skype Entreprise Server 2019</w:t>
            </w:r>
          </w:p>
        </w:tc>
      </w:tr>
    </w:tbl>
    <w:p w14:paraId="5FF2E7CB" w14:textId="77777777" w:rsidR="00F0618B" w:rsidRPr="006147E5" w:rsidRDefault="00F0618B" w:rsidP="00662805">
      <w:pPr>
        <w:tabs>
          <w:tab w:val="left" w:pos="0"/>
        </w:tabs>
        <w:spacing w:before="120" w:after="120"/>
        <w:rPr>
          <w:rFonts w:ascii="Tahoma" w:hAnsi="Tahoma" w:cs="Tahoma"/>
          <w:iCs/>
          <w:color w:val="000000"/>
        </w:rPr>
      </w:pPr>
    </w:p>
    <w:p w14:paraId="04B33C6D" w14:textId="77777777" w:rsidR="006F2741" w:rsidRPr="006147E5" w:rsidRDefault="00000000" w:rsidP="00662805">
      <w:pPr>
        <w:keepNext/>
        <w:spacing w:before="120" w:after="120"/>
        <w:rPr>
          <w:rFonts w:ascii="Tahoma" w:hAnsi="Tahoma" w:cs="Tahoma"/>
          <w:b/>
        </w:rPr>
      </w:pPr>
      <w:r w:rsidRPr="006147E5">
        <w:rPr>
          <w:rFonts w:ascii="Tahoma" w:hAnsi="Tahoma" w:cs="Tahoma"/>
          <w:b/>
        </w:rPr>
        <w:t>SQL Server</w:t>
      </w:r>
      <w:bookmarkEnd w:id="5"/>
    </w:p>
    <w:p w14:paraId="6B21E7BA" w14:textId="77777777" w:rsidR="00D80F55" w:rsidRPr="006147E5" w:rsidRDefault="00000000" w:rsidP="00662805">
      <w:pPr>
        <w:keepNext/>
        <w:spacing w:before="120" w:after="120"/>
        <w:rPr>
          <w:rFonts w:ascii="Tahoma" w:hAnsi="Tahoma" w:cs="Tahoma"/>
          <w:b/>
        </w:rPr>
      </w:pPr>
      <w:r w:rsidRPr="006147E5">
        <w:rPr>
          <w:rFonts w:ascii="Tahoma" w:hAnsi="Tahoma" w:cs="Tahoma"/>
          <w:b/>
        </w:rPr>
        <w:t>SQL Server (Cœur)</w:t>
      </w:r>
    </w:p>
    <w:p w14:paraId="0EC3CB60" w14:textId="77777777" w:rsidR="004247CA" w:rsidRPr="006147E5" w:rsidRDefault="00000000" w:rsidP="00662805">
      <w:pPr>
        <w:spacing w:before="120" w:after="120"/>
        <w:rPr>
          <w:rFonts w:ascii="Tahoma" w:hAnsi="Tahoma" w:cs="Tahoma"/>
        </w:rPr>
      </w:pPr>
      <w:r w:rsidRPr="006147E5">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 versions postérieures de SQL Server comme indiqué dans la Liste des Produits d’avril 2017. Si les mêmes Clients disposent d’une couverture active après la commercialisation d'une version postérieure de SQL Server, ils peuvent effectuer la mise à jour vers cette version conformément aux mêmes conditions générales.</w:t>
      </w:r>
    </w:p>
    <w:p w14:paraId="085DDEA5" w14:textId="77777777" w:rsidR="004247CA" w:rsidRPr="006147E5" w:rsidRDefault="00000000" w:rsidP="00662805">
      <w:pPr>
        <w:spacing w:before="120" w:after="120"/>
        <w:rPr>
          <w:rFonts w:ascii="Tahoma" w:hAnsi="Tahoma" w:cs="Tahoma"/>
        </w:rPr>
      </w:pPr>
      <w:r w:rsidRPr="006147E5">
        <w:rPr>
          <w:rFonts w:ascii="Tahoma" w:hAnsi="Tahoma" w:cs="Tahoma"/>
        </w:rPr>
        <w:t>Les Clients ayant des Utilisateurs Finaux qui ont acheté et maintenu une couverture continue de Maintenance Incorporée pour des licences SQL 2012 Core (Utilisation limitée à l’exécution) peuvent mettre à jour la Solution Unifiée des Utilisateurs Finaux afin d’inclure les versions postérieures de SQL Server comme indiqué dans la Liste des Produits d’avril 2017. Si les mêmes Clients disposent d’une couverture active après la commercialisation d'une version postérieure de SQL Server, ils peuvent effectuer la mise à jour vers cette version conformément aux mêmes conditions générales.</w:t>
      </w:r>
    </w:p>
    <w:p w14:paraId="14331F55" w14:textId="77777777" w:rsidR="00E41383" w:rsidRPr="006147E5" w:rsidRDefault="00000000" w:rsidP="00662805">
      <w:pPr>
        <w:keepNext/>
        <w:spacing w:before="120" w:after="120"/>
        <w:rPr>
          <w:rFonts w:ascii="Tahoma" w:hAnsi="Tahoma" w:cs="Tahoma"/>
          <w:b/>
        </w:rPr>
      </w:pPr>
      <w:r w:rsidRPr="006147E5">
        <w:rPr>
          <w:rFonts w:ascii="Tahoma" w:hAnsi="Tahoma" w:cs="Tahoma"/>
          <w:b/>
        </w:rPr>
        <w:t xml:space="preserve">SQL Server </w:t>
      </w:r>
      <w:r w:rsidRPr="006147E5">
        <w:rPr>
          <w:rFonts w:ascii="Tahoma" w:hAnsi="Tahoma" w:cs="Tahoma"/>
          <w:b/>
          <w:color w:val="000000" w:themeColor="text1"/>
        </w:rPr>
        <w:t>(Serveur/CAL)</w:t>
      </w:r>
    </w:p>
    <w:p w14:paraId="0845CCFC" w14:textId="77777777" w:rsidR="004A5BCA" w:rsidRPr="00EB0883" w:rsidRDefault="00000000" w:rsidP="00662805">
      <w:pPr>
        <w:spacing w:before="120" w:after="120"/>
        <w:rPr>
          <w:rFonts w:ascii="Tahoma" w:hAnsi="Tahoma" w:cs="Tahoma"/>
          <w:bCs/>
          <w:iCs/>
          <w:color w:val="000000" w:themeColor="text1"/>
        </w:rPr>
      </w:pPr>
      <w:r w:rsidRPr="006147E5">
        <w:rPr>
          <w:rFonts w:ascii="Tahoma" w:hAnsi="Tahoma" w:cs="Tahoma"/>
          <w:bCs/>
          <w:iCs/>
          <w:color w:val="000000" w:themeColor="text1"/>
        </w:rPr>
        <w:t xml:space="preserve">Les Clients ayant des Utilisateurs Finaux qui ont acheté et maintenu une couverture continue de Maintenance Incorporée pour des licences SQL Server Workgroup peuvent mettre à jour la Solution Unifiée des Utilisateurs Finaux afin d’inclure les versions postérieures de SQL Server Standard comme indiqué dans la Liste des Produits d’avril 2017. Si les mêmes Clients disposent d’une couverture active après la commercialisation </w:t>
      </w:r>
      <w:r w:rsidRPr="006147E5">
        <w:rPr>
          <w:rFonts w:ascii="Tahoma" w:hAnsi="Tahoma" w:cs="Tahoma"/>
        </w:rPr>
        <w:t xml:space="preserve">d'une version postérieure de </w:t>
      </w:r>
      <w:r w:rsidRPr="006147E5">
        <w:rPr>
          <w:rFonts w:ascii="Tahoma" w:hAnsi="Tahoma" w:cs="Tahoma"/>
          <w:bCs/>
          <w:iCs/>
          <w:color w:val="000000" w:themeColor="text1"/>
        </w:rPr>
        <w:t>SQL Server, ils peuvent effectuer la mise à jour vers cette version Standard conformément aux mê</w:t>
      </w:r>
      <w:r>
        <w:rPr>
          <w:rFonts w:ascii="Tahoma" w:hAnsi="Tahoma" w:cs="Tahoma"/>
          <w:bCs/>
          <w:iCs/>
          <w:color w:val="000000" w:themeColor="text1"/>
        </w:rPr>
        <w:t>mes conditions générales.</w:t>
      </w:r>
    </w:p>
    <w:p w14:paraId="78D58F7F" w14:textId="77777777" w:rsidR="00E41383"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SQL Server 2008 R2 Enterprise (Serveur) </w:t>
      </w:r>
      <w:r>
        <w:rPr>
          <w:rFonts w:ascii="Tahoma" w:hAnsi="Tahoma" w:cs="Tahoma"/>
          <w:color w:val="000000" w:themeColor="text1"/>
        </w:rPr>
        <w:t xml:space="preserve">(Utilisation Complète) </w:t>
      </w:r>
      <w:r>
        <w:rPr>
          <w:rFonts w:ascii="Tahoma" w:hAnsi="Tahoma" w:cs="Tahoma"/>
          <w:bCs/>
          <w:iCs/>
          <w:color w:val="000000" w:themeColor="text1"/>
        </w:rPr>
        <w:t>et SQL Server 2008 R2 Enterprise (Serveur) (Utilisation Limitée à l’Exécution) sont les dernières versions de SQL Enterprise Server. Seuls les Clients ayant des Utilisateurs Finaux avec Maintenance Incorporée active pour SQL Server Enterprise Server peuvent effectuer une mise vers des versions postérieures de SQL Server Enterprise Server conformément aux conditions de la Maintenance Incorporée du Client. Le Client n'est pas autorisé à distribuer de nouvelles licences utilisation complète ou limitée à l’exécution de SQL Server Enterprise Server en tant qu’élément de la Solution Unifiée.</w:t>
      </w:r>
    </w:p>
    <w:p w14:paraId="33EF04EE" w14:textId="77777777" w:rsidR="005D3454"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 xml:space="preserve">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les mêmes Clients disposent d’une couverture active après la commercialisation </w:t>
      </w:r>
      <w:r>
        <w:rPr>
          <w:rFonts w:ascii="Tahoma" w:hAnsi="Tahoma" w:cs="Tahoma"/>
        </w:rPr>
        <w:t xml:space="preserve">d'une version postérieure de </w:t>
      </w:r>
      <w:r>
        <w:rPr>
          <w:rFonts w:ascii="Tahoma" w:hAnsi="Tahoma" w:cs="Tahoma"/>
          <w:bCs/>
          <w:iCs/>
          <w:color w:val="000000" w:themeColor="text1"/>
        </w:rPr>
        <w:t>SQL Server, ils peuvent effectuer la mise à jour vers cette version Enterprise (Serveur/CAL) postérieure conformément aux mêmes conditions générales.</w:t>
      </w:r>
    </w:p>
    <w:p w14:paraId="739CF9CC" w14:textId="77777777" w:rsidR="004A5BCA"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6827F10E" w14:textId="77777777" w:rsidR="00287A1E" w:rsidRPr="00287A1E" w:rsidRDefault="00287A1E" w:rsidP="00287A1E">
      <w:pPr>
        <w:tabs>
          <w:tab w:val="left" w:pos="0"/>
        </w:tabs>
        <w:spacing w:before="120" w:after="120"/>
        <w:rPr>
          <w:rFonts w:ascii="Tahoma" w:hAnsi="Tahoma" w:cs="Tahoma"/>
          <w:iCs/>
          <w:color w:val="000000"/>
        </w:rPr>
      </w:pPr>
    </w:p>
    <w:p w14:paraId="5F57A04B" w14:textId="77777777" w:rsidR="0065287E" w:rsidRPr="000D71F8" w:rsidRDefault="00000000" w:rsidP="00662805">
      <w:pPr>
        <w:spacing w:before="120" w:after="120"/>
        <w:rPr>
          <w:rFonts w:ascii="Tahoma" w:hAnsi="Tahoma" w:cs="Tahoma"/>
          <w:b/>
        </w:rPr>
      </w:pPr>
      <w:bookmarkStart w:id="6" w:name="_Hlk8636912"/>
      <w:r>
        <w:rPr>
          <w:rFonts w:ascii="Tahoma" w:hAnsi="Tahoma" w:cs="Tahoma"/>
          <w:b/>
        </w:rPr>
        <w:t>System Center 2022</w:t>
      </w:r>
    </w:p>
    <w:p w14:paraId="3FAD40E7" w14:textId="77777777" w:rsidR="00BF5457" w:rsidRPr="00EB0883" w:rsidRDefault="00000000" w:rsidP="00BF5457">
      <w:pPr>
        <w:spacing w:before="120" w:after="120"/>
        <w:rPr>
          <w:rFonts w:ascii="Tahoma" w:hAnsi="Tahoma" w:cs="Tahoma"/>
          <w:color w:val="000000"/>
          <w:lang w:eastAsia="x-none"/>
        </w:rPr>
      </w:pPr>
      <w:r>
        <w:rPr>
          <w:rFonts w:ascii="Tahoma" w:hAnsi="Tahoma" w:cs="Tahoma"/>
          <w:color w:val="000000"/>
        </w:rPr>
        <w:t xml:space="preserve">System Center 2022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2019 à compter du 1er avril 2022 peuvent se mettre à jour vers et distribuer System Center 2019 à la place des copies concédées sous licence de System Center 2016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3C5D" w14:paraId="06C78999"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749FA7B8" w14:textId="77777777" w:rsidR="00BF5457" w:rsidRPr="00287A1E" w:rsidRDefault="00000000" w:rsidP="000D71F8">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2BF23AD3" w14:textId="77777777" w:rsidR="00BF5457" w:rsidRPr="00287A1E" w:rsidRDefault="00000000" w:rsidP="000D71F8">
            <w:pPr>
              <w:jc w:val="center"/>
              <w:rPr>
                <w:rFonts w:ascii="Tahoma" w:hAnsi="Tahoma" w:cs="Tahoma"/>
                <w:sz w:val="18"/>
              </w:rPr>
            </w:pPr>
            <w:r>
              <w:rPr>
                <w:rFonts w:ascii="Tahoma" w:hAnsi="Tahoma" w:cs="Tahoma"/>
                <w:b/>
                <w:bCs/>
                <w:sz w:val="18"/>
                <w:szCs w:val="18"/>
              </w:rPr>
              <w:t>Licence Éligible</w:t>
            </w:r>
          </w:p>
        </w:tc>
      </w:tr>
      <w:tr w:rsidR="009A3C5D" w14:paraId="428B9DA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2FF65700" w14:textId="77777777" w:rsidR="00BF5457" w:rsidRPr="006147E5" w:rsidRDefault="00000000" w:rsidP="00BF5457">
            <w:pPr>
              <w:rPr>
                <w:rFonts w:ascii="Tahoma" w:hAnsi="Tahoma" w:cs="Tahoma"/>
                <w:bCs/>
                <w:sz w:val="16"/>
                <w:szCs w:val="19"/>
                <w:lang w:val="en-IN"/>
              </w:rPr>
            </w:pPr>
            <w:r>
              <w:rPr>
                <w:rFonts w:ascii="Tahoma" w:hAnsi="Tahoma" w:cs="Tahoma"/>
                <w:bCs/>
                <w:sz w:val="16"/>
                <w:szCs w:val="19"/>
              </w:rPr>
              <w:t>System Center 2019 Data Protection Manager (DPM)</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1874591E" w14:textId="77777777" w:rsidR="00BF5457" w:rsidRPr="006147E5" w:rsidRDefault="00000000" w:rsidP="00BF5457">
            <w:pPr>
              <w:rPr>
                <w:rFonts w:ascii="Tahoma" w:hAnsi="Tahoma" w:cs="Tahoma"/>
                <w:bCs/>
                <w:sz w:val="16"/>
                <w:szCs w:val="19"/>
                <w:lang w:val="en-IN"/>
              </w:rPr>
            </w:pPr>
            <w:r>
              <w:rPr>
                <w:rFonts w:ascii="Tahoma" w:hAnsi="Tahoma" w:cs="Tahoma"/>
                <w:bCs/>
                <w:sz w:val="16"/>
                <w:szCs w:val="19"/>
              </w:rPr>
              <w:t>System Center 2022 Data Protection Manager (DPM)</w:t>
            </w:r>
          </w:p>
        </w:tc>
      </w:tr>
      <w:tr w:rsidR="009A3C5D" w14:paraId="0C52ECB4"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012AF924"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68A490C6"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Operations Manager</w:t>
            </w:r>
          </w:p>
        </w:tc>
      </w:tr>
      <w:tr w:rsidR="009A3C5D" w14:paraId="117977C5"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44F5C20"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538E344E"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Orchestrator</w:t>
            </w:r>
          </w:p>
        </w:tc>
      </w:tr>
      <w:tr w:rsidR="009A3C5D" w14:paraId="1CDEA483"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7BF47576"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6C4B3935"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Service Manager</w:t>
            </w:r>
          </w:p>
        </w:tc>
      </w:tr>
      <w:tr w:rsidR="009A3C5D" w14:paraId="1F872882"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2459EB9D"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28B0BE74"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Datacenter</w:t>
            </w:r>
          </w:p>
        </w:tc>
      </w:tr>
      <w:tr w:rsidR="009A3C5D" w14:paraId="63E4188F"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1F29B7D4"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1E7E0720"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Standard</w:t>
            </w:r>
          </w:p>
        </w:tc>
      </w:tr>
    </w:tbl>
    <w:p w14:paraId="408F2028" w14:textId="77777777" w:rsidR="00EB0883" w:rsidRPr="00662805" w:rsidRDefault="00EB0883" w:rsidP="00662805">
      <w:pPr>
        <w:spacing w:before="120" w:after="120"/>
        <w:rPr>
          <w:rFonts w:ascii="Tahoma" w:hAnsi="Tahoma" w:cs="Tahoma"/>
          <w:bCs/>
          <w:iCs/>
          <w:color w:val="000000" w:themeColor="text1"/>
        </w:rPr>
      </w:pPr>
    </w:p>
    <w:p w14:paraId="4DD1822F" w14:textId="77777777" w:rsidR="00775D5C" w:rsidRPr="00F21859" w:rsidRDefault="00000000" w:rsidP="005F58E3">
      <w:pPr>
        <w:keepNext/>
        <w:spacing w:before="120" w:after="120"/>
        <w:rPr>
          <w:rFonts w:ascii="Tahoma" w:hAnsi="Tahoma" w:cs="Tahoma"/>
          <w:b/>
        </w:rPr>
      </w:pPr>
      <w:r>
        <w:rPr>
          <w:rFonts w:ascii="Tahoma" w:hAnsi="Tahoma" w:cs="Tahoma"/>
          <w:b/>
        </w:rPr>
        <w:t>Visual Studio 2022</w:t>
      </w:r>
    </w:p>
    <w:p w14:paraId="797C353D" w14:textId="77777777" w:rsidR="00775D5C" w:rsidRPr="00EB0883" w:rsidRDefault="00000000" w:rsidP="008E2012">
      <w:pPr>
        <w:spacing w:before="120" w:after="120"/>
        <w:rPr>
          <w:rFonts w:ascii="Tahoma" w:hAnsi="Tahoma" w:cs="Tahoma"/>
          <w:color w:val="000000"/>
          <w:lang w:eastAsia="x-none"/>
        </w:rPr>
      </w:pPr>
      <w:r>
        <w:rPr>
          <w:rFonts w:ascii="Tahoma" w:hAnsi="Tahoma" w:cs="Tahoma"/>
          <w:color w:val="000000"/>
        </w:rPr>
        <w:t xml:space="preserve">Visual Studio 2022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2019 à compter du 1er décembre 2021 peuvent se mettre à jour vers et distribuer Visual Studio 2022 à la place des copies concédées sous licence de Visual Studio 2019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3C5D" w14:paraId="77740297"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D136224" w14:textId="77777777" w:rsidR="00775D5C" w:rsidRPr="00287A1E" w:rsidRDefault="00000000" w:rsidP="00775D5C">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BA8D804" w14:textId="77777777" w:rsidR="00775D5C" w:rsidRPr="00287A1E" w:rsidRDefault="00000000" w:rsidP="00775D5C">
            <w:pPr>
              <w:jc w:val="center"/>
              <w:rPr>
                <w:rFonts w:ascii="Tahoma" w:hAnsi="Tahoma" w:cs="Tahoma"/>
                <w:sz w:val="18"/>
              </w:rPr>
            </w:pPr>
            <w:r>
              <w:rPr>
                <w:rFonts w:ascii="Tahoma" w:hAnsi="Tahoma" w:cs="Tahoma"/>
                <w:b/>
                <w:bCs/>
                <w:sz w:val="18"/>
                <w:szCs w:val="18"/>
              </w:rPr>
              <w:t>Licence Éligible</w:t>
            </w:r>
          </w:p>
        </w:tc>
      </w:tr>
      <w:tr w:rsidR="009A3C5D" w14:paraId="2FCCBAFF"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389465B3"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00E4DD5"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2022</w:t>
            </w:r>
          </w:p>
        </w:tc>
      </w:tr>
      <w:tr w:rsidR="009A3C5D" w14:paraId="141F39FA"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C2EA193"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3F9758C"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2022</w:t>
            </w:r>
          </w:p>
        </w:tc>
      </w:tr>
      <w:tr w:rsidR="009A3C5D" w14:paraId="77FAD51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CFFF58E"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27BF1DF"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6CCD044E" w14:textId="77777777" w:rsidR="00FB52EE" w:rsidRPr="00662805" w:rsidRDefault="00FB52EE" w:rsidP="00662805">
      <w:pPr>
        <w:spacing w:before="120" w:after="120"/>
        <w:rPr>
          <w:rFonts w:ascii="Tahoma" w:hAnsi="Tahoma" w:cs="Tahoma"/>
          <w:bCs/>
          <w:iCs/>
          <w:color w:val="000000" w:themeColor="text1"/>
        </w:rPr>
      </w:pPr>
    </w:p>
    <w:p w14:paraId="102B0C6A" w14:textId="77777777" w:rsidR="00FB52EE" w:rsidRPr="00F21859" w:rsidRDefault="00000000" w:rsidP="00FB52EE">
      <w:pPr>
        <w:keepNext/>
        <w:spacing w:before="120" w:after="120"/>
        <w:rPr>
          <w:rFonts w:ascii="Tahoma" w:hAnsi="Tahoma" w:cs="Tahoma"/>
          <w:b/>
        </w:rPr>
      </w:pPr>
      <w:r>
        <w:rPr>
          <w:rFonts w:ascii="Tahoma" w:hAnsi="Tahoma" w:cs="Tahoma"/>
          <w:b/>
        </w:rPr>
        <w:t>Microsoft Azure DevOps Server 2022</w:t>
      </w:r>
    </w:p>
    <w:p w14:paraId="5E87FD85" w14:textId="77777777" w:rsidR="00FB52EE" w:rsidRPr="00EB0883" w:rsidRDefault="00000000" w:rsidP="00FB52EE">
      <w:pPr>
        <w:spacing w:before="120" w:after="120"/>
        <w:rPr>
          <w:rFonts w:ascii="Tahoma" w:hAnsi="Tahoma" w:cs="Tahoma"/>
          <w:color w:val="000000"/>
          <w:lang w:eastAsia="x-none"/>
        </w:rPr>
      </w:pPr>
      <w:r>
        <w:rPr>
          <w:rFonts w:ascii="Tahoma" w:hAnsi="Tahoma" w:cs="Tahoma"/>
          <w:color w:val="000000"/>
        </w:rPr>
        <w:t xml:space="preserve">Microsoft Azure DevOps Server 2022 est la dernière version de Microsoft Azure DevOps Server. Les clients disposant d’une </w:t>
      </w:r>
      <w:r>
        <w:rPr>
          <w:rFonts w:ascii="Tahoma" w:hAnsi="Tahoma" w:cs="Tahoma"/>
        </w:rPr>
        <w:t xml:space="preserve">Maintenance Intégrée </w:t>
      </w:r>
      <w:r>
        <w:rPr>
          <w:rFonts w:ascii="Tahoma" w:hAnsi="Tahoma" w:cs="Tahoma"/>
          <w:color w:val="000000"/>
        </w:rPr>
        <w:t>active pour Microsoft Azure DevOps Server 2020 à compter du 1er décembre 2022 peuvent effectuer la mise à jour vers et distribuer Microsoft Azure DevOps Server 2022 à la place des copies concédées sous licence de Microsoft Azure DevOps Server 2020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3C5D" w14:paraId="227E14C0"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215CE4E" w14:textId="77777777" w:rsidR="00FB52EE" w:rsidRPr="00287A1E" w:rsidRDefault="00000000" w:rsidP="003A569B">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9984AE5" w14:textId="77777777" w:rsidR="00FB52EE" w:rsidRPr="00287A1E" w:rsidRDefault="00000000" w:rsidP="00D8171B">
            <w:pPr>
              <w:jc w:val="center"/>
              <w:rPr>
                <w:rFonts w:ascii="Tahoma" w:hAnsi="Tahoma" w:cs="Tahoma"/>
                <w:sz w:val="18"/>
              </w:rPr>
            </w:pPr>
            <w:r>
              <w:rPr>
                <w:rFonts w:ascii="Tahoma" w:hAnsi="Tahoma" w:cs="Tahoma"/>
                <w:b/>
                <w:bCs/>
                <w:sz w:val="18"/>
                <w:szCs w:val="18"/>
              </w:rPr>
              <w:t>Licence Éligible</w:t>
            </w:r>
          </w:p>
        </w:tc>
      </w:tr>
      <w:tr w:rsidR="009A3C5D" w14:paraId="6E1E01A4"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9EED042"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9B84AE5"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1031D13D" w14:textId="77777777" w:rsidR="00FB52EE" w:rsidRPr="00662805" w:rsidRDefault="00FB52EE" w:rsidP="00662805">
      <w:pPr>
        <w:spacing w:before="120" w:after="120"/>
        <w:rPr>
          <w:rFonts w:ascii="Tahoma" w:hAnsi="Tahoma" w:cs="Tahoma"/>
          <w:bCs/>
          <w:iCs/>
          <w:color w:val="000000" w:themeColor="text1"/>
        </w:rPr>
      </w:pPr>
    </w:p>
    <w:p w14:paraId="6234D0EC" w14:textId="77777777" w:rsidR="008C62F2" w:rsidRPr="00F21859" w:rsidRDefault="00000000"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Informations sur la Clé de Produit</w:t>
      </w:r>
    </w:p>
    <w:p w14:paraId="1F3FDDAE" w14:textId="77777777" w:rsidR="008C62F2" w:rsidRPr="00F21859" w:rsidRDefault="00000000" w:rsidP="00F21859">
      <w:pPr>
        <w:pStyle w:val="ListParagraph"/>
        <w:numPr>
          <w:ilvl w:val="0"/>
          <w:numId w:val="36"/>
        </w:numPr>
        <w:spacing w:before="120" w:after="120"/>
        <w:rPr>
          <w:rFonts w:ascii="Tahoma" w:hAnsi="Tahoma" w:cs="Tahoma"/>
        </w:rPr>
      </w:pPr>
      <w:r>
        <w:rPr>
          <w:rFonts w:ascii="Tahoma" w:hAnsi="Tahoma" w:cs="Tahoma"/>
        </w:rPr>
        <w:t>Éléments signalés par un « s » : la clé d’installation du Produit figure sur l’étiquette qui accompagne le support d’approvisionnement.</w:t>
      </w:r>
    </w:p>
    <w:p w14:paraId="70281DEC" w14:textId="77777777" w:rsidR="00B017CA" w:rsidRPr="00F21859" w:rsidRDefault="00000000" w:rsidP="00F21859">
      <w:pPr>
        <w:pStyle w:val="ListParagraph"/>
        <w:numPr>
          <w:ilvl w:val="0"/>
          <w:numId w:val="36"/>
        </w:numPr>
        <w:spacing w:before="120" w:after="120"/>
        <w:rPr>
          <w:rFonts w:ascii="Tahoma" w:hAnsi="Tahoma" w:cs="Tahoma"/>
        </w:rPr>
      </w:pPr>
      <w:r>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3" w:history="1">
        <w:r w:rsidR="00B017CA">
          <w:rPr>
            <w:rStyle w:val="Hyperlink"/>
            <w:rFonts w:ascii="Tahoma" w:hAnsi="Tahoma" w:cs="Tahoma"/>
          </w:rPr>
          <w:t>http://technet.microsoft.com/en-us/library/ff603511.aspx</w:t>
        </w:r>
      </w:hyperlink>
      <w:r>
        <w:rPr>
          <w:rFonts w:ascii="Tahoma" w:hAnsi="Tahoma" w:cs="Tahoma"/>
        </w:rPr>
        <w:t>.</w:t>
      </w:r>
    </w:p>
    <w:p w14:paraId="4E10CC09" w14:textId="77777777" w:rsidR="00040D5D" w:rsidRPr="00CA55C8" w:rsidRDefault="00000000"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Éléments signalés par un « r » : pour les clés de CAL RDS, veuillez contacter </w:t>
      </w:r>
      <w:hyperlink r:id="rId14" w:history="1">
        <w:r w:rsidR="00040D5D">
          <w:rPr>
            <w:rStyle w:val="Hyperlink"/>
            <w:rFonts w:ascii="Tahoma" w:hAnsi="Tahoma" w:cs="Tahoma"/>
          </w:rPr>
          <w:t>isvroy@microsoft.com</w:t>
        </w:r>
      </w:hyperlink>
      <w:r>
        <w:rPr>
          <w:rFonts w:ascii="Tahoma" w:hAnsi="Tahoma" w:cs="Tahoma"/>
        </w:rPr>
        <w:t>.</w:t>
      </w:r>
      <w:r>
        <w:br w:type="page"/>
      </w:r>
    </w:p>
    <w:p w14:paraId="75706549" w14:textId="77777777" w:rsidR="00555783" w:rsidRPr="00F21859" w:rsidRDefault="00000000"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Conditions de Programme Supplémentaires</w:t>
      </w:r>
    </w:p>
    <w:p w14:paraId="73EA908F" w14:textId="77777777" w:rsidR="00FA6CE6" w:rsidRPr="00F21859" w:rsidRDefault="00000000" w:rsidP="00F21859">
      <w:pPr>
        <w:pStyle w:val="ListParagraph"/>
        <w:numPr>
          <w:ilvl w:val="0"/>
          <w:numId w:val="37"/>
        </w:numPr>
        <w:spacing w:before="120" w:after="120"/>
        <w:rPr>
          <w:rFonts w:ascii="Tahoma" w:hAnsi="Tahoma" w:cs="Tahoma"/>
          <w:iCs/>
        </w:rPr>
      </w:pPr>
      <w:r>
        <w:rPr>
          <w:rFonts w:ascii="Tahoma" w:hAnsi="Tahoma" w:cs="Tahoma"/>
          <w:b/>
        </w:rPr>
        <w:t>Confidentialité des Clés.</w:t>
      </w:r>
      <w:r>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5" w:history="1">
        <w:r w:rsidR="00FA6CE6">
          <w:rPr>
            <w:rStyle w:val="Hyperlink"/>
            <w:rFonts w:ascii="Tahoma" w:hAnsi="Tahoma" w:cs="Tahoma"/>
          </w:rPr>
          <w:t>http://www.microsoft.com/piracy/</w:t>
        </w:r>
      </w:hyperlink>
      <w:r>
        <w:rPr>
          <w:rFonts w:ascii="Tahoma" w:hAnsi="Tahoma" w:cs="Tahoma"/>
        </w:rPr>
        <w:t>.</w:t>
      </w:r>
    </w:p>
    <w:p w14:paraId="08B8C5A6"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bCs/>
        </w:rPr>
        <w:t>Logiciel à Potentiel Viral.</w:t>
      </w:r>
      <w:r>
        <w:rPr>
          <w:rFonts w:ascii="Tahoma" w:hAnsi="Tahoma" w:cs="Tahoma"/>
        </w:rPr>
        <w:t xml:space="preserve"> Vos droits de licence en vertu du Contrat et/ou du Contrat Academic vous sont concédés à condition que vous vous engagiez à respecter les conditions suivantes :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338322FC" w14:textId="77777777" w:rsidR="003F3497" w:rsidRPr="00F21859" w:rsidRDefault="00000000" w:rsidP="00F21859">
      <w:pPr>
        <w:pStyle w:val="ListParagraph"/>
        <w:numPr>
          <w:ilvl w:val="0"/>
          <w:numId w:val="37"/>
        </w:numPr>
        <w:spacing w:before="120" w:after="120"/>
        <w:rPr>
          <w:rFonts w:ascii="Tahoma" w:hAnsi="Tahoma" w:cs="Tahoma"/>
        </w:rPr>
      </w:pPr>
      <w:r>
        <w:rPr>
          <w:rFonts w:ascii="Tahoma" w:hAnsi="Tahoma" w:cs="Tahoma"/>
          <w:b/>
        </w:rPr>
        <w:t>Serveurs exempts de virus.</w:t>
      </w:r>
      <w:r>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48E1E16F"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Conditions Relatives à la Licence.</w:t>
      </w:r>
      <w:r>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1C922888"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Clarification relative aux Liens vers des Sites Tiers.</w:t>
      </w:r>
      <w:r>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E29AEA4" w14:textId="77777777" w:rsidR="00CC3B64" w:rsidRPr="00F21859" w:rsidRDefault="00000000" w:rsidP="00EE3044">
      <w:pPr>
        <w:pStyle w:val="ListParagraph"/>
        <w:numPr>
          <w:ilvl w:val="0"/>
          <w:numId w:val="37"/>
        </w:numPr>
        <w:spacing w:before="120"/>
        <w:rPr>
          <w:rFonts w:ascii="Tahoma" w:hAnsi="Tahoma" w:cs="Tahoma"/>
          <w:bCs/>
        </w:rPr>
      </w:pPr>
      <w:r>
        <w:rPr>
          <w:rFonts w:ascii="Tahoma" w:hAnsi="Tahoma" w:cs="Tahoma"/>
          <w:b/>
        </w:rPr>
        <w:t xml:space="preserve">Clarification relative à la Licence de la Version Éducation (« Academic Edition »). </w:t>
      </w:r>
      <w:r>
        <w:rPr>
          <w:rFonts w:ascii="Tahoma" w:hAnsi="Tahoma" w:cs="Tahoma"/>
        </w:rPr>
        <w:t>Si vous distribuez des Solutions Unifiées contenant des Produits basés sur la Version Éducation, vous êtes tenu de remplir les conditions suivantes :</w:t>
      </w:r>
    </w:p>
    <w:p w14:paraId="101D9D20"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Vous devez, en premier lieu, avoir signé un exemplaire du Contrat Academic et de l’Accord de Mise en Œuvre Academic ; et</w:t>
      </w:r>
    </w:p>
    <w:p w14:paraId="5B219C68"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337A1C12" w14:textId="77777777" w:rsidR="00CC3B64"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6E93B3A8" w14:textId="77777777" w:rsidR="00E43388" w:rsidRDefault="00000000" w:rsidP="006147E5">
      <w:pPr>
        <w:spacing w:before="120" w:after="120"/>
        <w:ind w:left="378" w:hanging="18"/>
        <w:rPr>
          <w:rFonts w:ascii="Tahoma" w:hAnsi="Tahoma" w:cs="Tahoma"/>
        </w:rPr>
      </w:pPr>
      <w:r>
        <w:rPr>
          <w:rFonts w:ascii="Tahoma" w:hAnsi="Tahoma" w:cs="Tahoma"/>
        </w:rPr>
        <w:t>Les critères relatifs à la qualité d’Utilisateur Final éducation éligible figurent dans l’Accord de Mise en Œuvre Academic.</w:t>
      </w:r>
    </w:p>
    <w:p w14:paraId="33601B0F" w14:textId="77777777" w:rsidR="00554191" w:rsidRPr="00F21859" w:rsidRDefault="00000000" w:rsidP="00EE3044">
      <w:pPr>
        <w:pStyle w:val="ListParagraph"/>
        <w:numPr>
          <w:ilvl w:val="0"/>
          <w:numId w:val="37"/>
        </w:numPr>
        <w:spacing w:before="120"/>
        <w:rPr>
          <w:rFonts w:ascii="Tahoma" w:hAnsi="Tahoma" w:cs="Tahoma"/>
          <w:bCs/>
        </w:rPr>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08FADF00" w14:textId="77777777" w:rsidR="00554191" w:rsidRPr="00F21859" w:rsidRDefault="00000000" w:rsidP="00EE3044">
      <w:pPr>
        <w:numPr>
          <w:ilvl w:val="0"/>
          <w:numId w:val="3"/>
        </w:numPr>
        <w:tabs>
          <w:tab w:val="clear" w:pos="1260"/>
          <w:tab w:val="left" w:pos="720"/>
        </w:tabs>
        <w:ind w:left="720"/>
        <w:rPr>
          <w:rFonts w:ascii="Tahoma" w:hAnsi="Tahoma" w:cs="Tahoma"/>
          <w:bCs/>
        </w:rPr>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1B49C098" w14:textId="77777777" w:rsidR="00785537"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776E4688" w14:textId="77777777" w:rsidR="006A34DC" w:rsidRPr="00F21859" w:rsidRDefault="00000000" w:rsidP="00F21859">
      <w:pPr>
        <w:pStyle w:val="ListParagraph"/>
        <w:numPr>
          <w:ilvl w:val="0"/>
          <w:numId w:val="37"/>
        </w:numPr>
        <w:spacing w:before="120" w:after="120"/>
        <w:rPr>
          <w:rFonts w:ascii="Tahoma" w:hAnsi="Tahoma" w:cs="Tahoma"/>
          <w:bCs/>
        </w:rPr>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5C94BBE7" w14:textId="77777777" w:rsidR="00DF3CB9" w:rsidRDefault="00000000" w:rsidP="005D5C97">
      <w:pPr>
        <w:pStyle w:val="ListParagraph"/>
        <w:numPr>
          <w:ilvl w:val="0"/>
          <w:numId w:val="37"/>
        </w:numPr>
        <w:spacing w:before="60" w:after="120"/>
        <w:rPr>
          <w:rFonts w:ascii="Tahoma" w:hAnsi="Tahoma" w:cs="Tahoma"/>
          <w:color w:val="000000"/>
        </w:rPr>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6" w:history="1">
        <w:r w:rsidR="00DF3CB9">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 xml:space="preserve">Vous devez acquérir sous licence les Produits distribués conformément aux Conditions de Licence Microsoft applicables aux Produits déclarés. </w:t>
      </w:r>
    </w:p>
    <w:p w14:paraId="50F9675B" w14:textId="77777777" w:rsidR="003331FA" w:rsidRPr="00DF3CB9" w:rsidRDefault="00000000" w:rsidP="00DF3CB9">
      <w:pPr>
        <w:spacing w:before="60" w:after="120"/>
        <w:ind w:left="360"/>
        <w:rPr>
          <w:rFonts w:ascii="Tahoma" w:hAnsi="Tahoma" w:cs="Tahoma"/>
          <w:color w:val="000000"/>
        </w:rPr>
      </w:pPr>
      <w:r>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0AFEF11E" w14:textId="77777777" w:rsidR="00DA1DEE" w:rsidRPr="00F21859" w:rsidRDefault="00000000" w:rsidP="00EE3044">
      <w:pPr>
        <w:pStyle w:val="ListParagraph"/>
        <w:numPr>
          <w:ilvl w:val="0"/>
          <w:numId w:val="37"/>
        </w:numPr>
        <w:spacing w:before="120" w:after="60"/>
        <w:rPr>
          <w:rFonts w:ascii="Tahoma" w:hAnsi="Tahoma" w:cs="Tahoma"/>
        </w:rPr>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174C451" w14:textId="77777777" w:rsidR="00DA1DEE" w:rsidRPr="00F21859" w:rsidRDefault="00000000"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9A3C5D" w14:paraId="328FFC0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279C4F03" w14:textId="77777777" w:rsidR="00D833B1" w:rsidRPr="00F21859" w:rsidRDefault="0000000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9A3C5D" w14:paraId="0B1BB26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8C4A5DB" w14:textId="77777777" w:rsidR="00A16E16" w:rsidRPr="00287A1E" w:rsidRDefault="00000000" w:rsidP="00F21859">
            <w:pPr>
              <w:rPr>
                <w:rFonts w:ascii="Tahoma" w:hAnsi="Tahoma" w:cs="Tahoma"/>
                <w:bCs/>
                <w:iCs/>
                <w:sz w:val="16"/>
                <w:szCs w:val="18"/>
              </w:rPr>
            </w:pPr>
            <w:r>
              <w:rPr>
                <w:rFonts w:ascii="Tahoma" w:hAnsi="Tahoma" w:cs="Tahoma"/>
                <w:bCs/>
                <w:iCs/>
                <w:sz w:val="16"/>
                <w:szCs w:val="18"/>
              </w:rPr>
              <w:t>SQL Server 2008 R2 Éditions Standard, Enterprise, Datacenter et Workgroup (toutes les versions)</w:t>
            </w:r>
          </w:p>
        </w:tc>
      </w:tr>
      <w:tr w:rsidR="009A3C5D" w14:paraId="43F142D1"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098E0B4"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RFID 2010</w:t>
            </w:r>
          </w:p>
        </w:tc>
      </w:tr>
      <w:tr w:rsidR="009A3C5D" w14:paraId="3A435E75"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199D1535"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Server 2010 Éditions Branch, Standard et Enterprise (toutes les versions)</w:t>
            </w:r>
          </w:p>
        </w:tc>
      </w:tr>
      <w:tr w:rsidR="009A3C5D" w14:paraId="136ADB9F"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458B7DEE" w14:textId="77777777" w:rsidR="00A16E16" w:rsidRPr="00287A1E" w:rsidRDefault="00000000" w:rsidP="00A16E16">
            <w:pPr>
              <w:rPr>
                <w:rFonts w:ascii="Tahoma" w:hAnsi="Tahoma" w:cs="Tahoma"/>
                <w:bCs/>
                <w:iCs/>
                <w:sz w:val="16"/>
                <w:szCs w:val="18"/>
              </w:rPr>
            </w:pPr>
            <w:r>
              <w:rPr>
                <w:rFonts w:ascii="Tahoma" w:hAnsi="Tahoma" w:cs="Tahoma"/>
                <w:bCs/>
                <w:iCs/>
                <w:sz w:val="16"/>
                <w:szCs w:val="19"/>
              </w:rPr>
              <w:t>MapPoint (toutes les versions)</w:t>
            </w:r>
          </w:p>
        </w:tc>
      </w:tr>
      <w:tr w:rsidR="009A3C5D" w14:paraId="6A84192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0578132B" w14:textId="77777777" w:rsidR="00133A0E" w:rsidRPr="00287A1E" w:rsidRDefault="00000000" w:rsidP="00A16E16">
            <w:pPr>
              <w:rPr>
                <w:rFonts w:ascii="Tahoma" w:hAnsi="Tahoma" w:cs="Tahoma"/>
                <w:bCs/>
                <w:iCs/>
                <w:sz w:val="16"/>
                <w:szCs w:val="19"/>
                <w:lang w:val="pt-BR"/>
              </w:rPr>
            </w:pPr>
            <w:r>
              <w:rPr>
                <w:rFonts w:ascii="Tahoma" w:hAnsi="Tahoma" w:cs="Tahoma"/>
                <w:bCs/>
                <w:iCs/>
                <w:sz w:val="16"/>
                <w:szCs w:val="19"/>
              </w:rPr>
              <w:t>Microsoft Dynamics CRM Server 2016 (Toutes les versions)</w:t>
            </w:r>
          </w:p>
        </w:tc>
      </w:tr>
    </w:tbl>
    <w:p w14:paraId="68C51640"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5E89" w14:textId="77777777" w:rsidR="00B8613E" w:rsidRDefault="00B8613E">
      <w:r>
        <w:separator/>
      </w:r>
    </w:p>
  </w:endnote>
  <w:endnote w:type="continuationSeparator" w:id="0">
    <w:p w14:paraId="107788E0" w14:textId="77777777" w:rsidR="00B8613E" w:rsidRDefault="00B8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D22B" w14:textId="77777777" w:rsidR="007E1A4B" w:rsidRDefault="00000000" w:rsidP="000E1294">
    <w:pPr>
      <w:pStyle w:val="Footer"/>
      <w:tabs>
        <w:tab w:val="clear" w:pos="8640"/>
      </w:tabs>
    </w:pPr>
    <w:r>
      <w:rPr>
        <w:rFonts w:ascii="Tahoma" w:hAnsi="Tahoma" w:cs="Tahoma"/>
        <w:i/>
        <w:snapToGrid w:val="0"/>
        <w:sz w:val="16"/>
        <w:szCs w:val="16"/>
      </w:rPr>
      <w:t>En cours en date du 1er octobre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Page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sur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1B53" w14:textId="77777777" w:rsidR="007E1A4B" w:rsidRDefault="00000000" w:rsidP="001502EC">
    <w:pPr>
      <w:pStyle w:val="Footer"/>
      <w:tabs>
        <w:tab w:val="clear" w:pos="8640"/>
      </w:tabs>
    </w:pPr>
    <w:r>
      <w:rPr>
        <w:rFonts w:ascii="Tahoma" w:hAnsi="Tahoma" w:cs="Tahoma"/>
        <w:i/>
        <w:snapToGrid w:val="0"/>
        <w:sz w:val="16"/>
        <w:szCs w:val="16"/>
      </w:rPr>
      <w:t>En cours en date du 1er octobre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Page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noProof/>
        <w:sz w:val="16"/>
        <w:szCs w:val="16"/>
      </w:rPr>
      <w:t>1</w:t>
    </w:r>
    <w:r>
      <w:fldChar w:fldCharType="end"/>
    </w:r>
    <w:r>
      <w:rPr>
        <w:rFonts w:ascii="Tahoma" w:hAnsi="Tahoma" w:cs="Tahoma"/>
        <w:i/>
        <w:sz w:val="16"/>
        <w:szCs w:val="16"/>
      </w:rPr>
      <w:t xml:space="preserve"> sur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705A5" w14:textId="77777777" w:rsidR="00B8613E" w:rsidRDefault="00B8613E">
      <w:r>
        <w:separator/>
      </w:r>
    </w:p>
  </w:footnote>
  <w:footnote w:type="continuationSeparator" w:id="0">
    <w:p w14:paraId="74B25757" w14:textId="77777777" w:rsidR="00B8613E" w:rsidRDefault="00B8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3E60" w14:textId="77777777" w:rsidR="007E1A4B" w:rsidRDefault="00000000" w:rsidP="004A7492">
    <w:pPr>
      <w:pStyle w:val="Header"/>
      <w:spacing w:before="240"/>
    </w:pPr>
    <w:r>
      <w:rPr>
        <w:noProof/>
      </w:rPr>
      <w:drawing>
        <wp:anchor distT="0" distB="0" distL="114300" distR="114300" simplePos="0" relativeHeight="251658240" behindDoc="0" locked="0" layoutInCell="1" allowOverlap="1" wp14:anchorId="21A06593" wp14:editId="21658E92">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4043"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E3BD2A" w14:textId="77777777" w:rsidR="007E1A4B" w:rsidRDefault="007E1A4B"/>
  <w:p w14:paraId="5EDD01B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4558" w14:textId="77777777" w:rsidR="007E1A4B" w:rsidRDefault="00000000">
    <w:pPr>
      <w:pStyle w:val="Header"/>
    </w:pPr>
    <w:r>
      <w:rPr>
        <w:noProof/>
      </w:rPr>
      <w:drawing>
        <wp:anchor distT="0" distB="0" distL="114300" distR="114300" simplePos="0" relativeHeight="251659264" behindDoc="0" locked="0" layoutInCell="1" allowOverlap="1" wp14:anchorId="501B4C88" wp14:editId="4253E0E9">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57293"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05930B0" w14:textId="77777777" w:rsidR="007E1A4B" w:rsidRDefault="007E1A4B">
    <w:pPr>
      <w:pStyle w:val="Header"/>
    </w:pPr>
  </w:p>
  <w:p w14:paraId="18ADA31C" w14:textId="77777777" w:rsidR="007E1A4B" w:rsidRDefault="007E1A4B">
    <w:pPr>
      <w:pStyle w:val="Header"/>
    </w:pPr>
  </w:p>
  <w:p w14:paraId="58573479" w14:textId="77777777" w:rsidR="007E1A4B" w:rsidRDefault="007E1A4B"/>
  <w:p w14:paraId="2484F4DA"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9E8E5BBA">
      <w:start w:val="1"/>
      <w:numFmt w:val="decimal"/>
      <w:lvlText w:val="%1."/>
      <w:lvlJc w:val="left"/>
      <w:pPr>
        <w:ind w:left="1620" w:hanging="360"/>
      </w:pPr>
    </w:lvl>
    <w:lvl w:ilvl="1" w:tplc="59F0E1EA" w:tentative="1">
      <w:start w:val="1"/>
      <w:numFmt w:val="lowerLetter"/>
      <w:lvlText w:val="%2."/>
      <w:lvlJc w:val="left"/>
      <w:pPr>
        <w:ind w:left="2340" w:hanging="360"/>
      </w:pPr>
    </w:lvl>
    <w:lvl w:ilvl="2" w:tplc="50DEE710" w:tentative="1">
      <w:start w:val="1"/>
      <w:numFmt w:val="lowerRoman"/>
      <w:lvlText w:val="%3."/>
      <w:lvlJc w:val="right"/>
      <w:pPr>
        <w:ind w:left="3060" w:hanging="180"/>
      </w:pPr>
    </w:lvl>
    <w:lvl w:ilvl="3" w:tplc="0DC45F14" w:tentative="1">
      <w:start w:val="1"/>
      <w:numFmt w:val="decimal"/>
      <w:lvlText w:val="%4."/>
      <w:lvlJc w:val="left"/>
      <w:pPr>
        <w:ind w:left="3780" w:hanging="360"/>
      </w:pPr>
    </w:lvl>
    <w:lvl w:ilvl="4" w:tplc="DB56242E" w:tentative="1">
      <w:start w:val="1"/>
      <w:numFmt w:val="lowerLetter"/>
      <w:lvlText w:val="%5."/>
      <w:lvlJc w:val="left"/>
      <w:pPr>
        <w:ind w:left="4500" w:hanging="360"/>
      </w:pPr>
    </w:lvl>
    <w:lvl w:ilvl="5" w:tplc="4D46CD38" w:tentative="1">
      <w:start w:val="1"/>
      <w:numFmt w:val="lowerRoman"/>
      <w:lvlText w:val="%6."/>
      <w:lvlJc w:val="right"/>
      <w:pPr>
        <w:ind w:left="5220" w:hanging="180"/>
      </w:pPr>
    </w:lvl>
    <w:lvl w:ilvl="6" w:tplc="5DFE48A4" w:tentative="1">
      <w:start w:val="1"/>
      <w:numFmt w:val="decimal"/>
      <w:lvlText w:val="%7."/>
      <w:lvlJc w:val="left"/>
      <w:pPr>
        <w:ind w:left="5940" w:hanging="360"/>
      </w:pPr>
    </w:lvl>
    <w:lvl w:ilvl="7" w:tplc="0EA06FBA" w:tentative="1">
      <w:start w:val="1"/>
      <w:numFmt w:val="lowerLetter"/>
      <w:lvlText w:val="%8."/>
      <w:lvlJc w:val="left"/>
      <w:pPr>
        <w:ind w:left="6660" w:hanging="360"/>
      </w:pPr>
    </w:lvl>
    <w:lvl w:ilvl="8" w:tplc="BE5424FE"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F6DE466A">
      <w:start w:val="1"/>
      <w:numFmt w:val="bullet"/>
      <w:lvlText w:val=""/>
      <w:lvlJc w:val="left"/>
      <w:pPr>
        <w:tabs>
          <w:tab w:val="num" w:pos="720"/>
        </w:tabs>
        <w:ind w:left="720" w:hanging="360"/>
      </w:pPr>
      <w:rPr>
        <w:rFonts w:ascii="Symbol" w:hAnsi="Symbol" w:hint="default"/>
      </w:rPr>
    </w:lvl>
    <w:lvl w:ilvl="1" w:tplc="C6D2DF50" w:tentative="1">
      <w:start w:val="1"/>
      <w:numFmt w:val="bullet"/>
      <w:lvlText w:val="o"/>
      <w:lvlJc w:val="left"/>
      <w:pPr>
        <w:tabs>
          <w:tab w:val="num" w:pos="1440"/>
        </w:tabs>
        <w:ind w:left="1440" w:hanging="360"/>
      </w:pPr>
      <w:rPr>
        <w:rFonts w:ascii="Courier New" w:hAnsi="Courier New" w:cs="Courier New" w:hint="default"/>
      </w:rPr>
    </w:lvl>
    <w:lvl w:ilvl="2" w:tplc="8E864A34" w:tentative="1">
      <w:start w:val="1"/>
      <w:numFmt w:val="bullet"/>
      <w:lvlText w:val=""/>
      <w:lvlJc w:val="left"/>
      <w:pPr>
        <w:tabs>
          <w:tab w:val="num" w:pos="2160"/>
        </w:tabs>
        <w:ind w:left="2160" w:hanging="360"/>
      </w:pPr>
      <w:rPr>
        <w:rFonts w:ascii="Wingdings" w:hAnsi="Wingdings" w:hint="default"/>
      </w:rPr>
    </w:lvl>
    <w:lvl w:ilvl="3" w:tplc="2E862D80" w:tentative="1">
      <w:start w:val="1"/>
      <w:numFmt w:val="bullet"/>
      <w:lvlText w:val=""/>
      <w:lvlJc w:val="left"/>
      <w:pPr>
        <w:tabs>
          <w:tab w:val="num" w:pos="2880"/>
        </w:tabs>
        <w:ind w:left="2880" w:hanging="360"/>
      </w:pPr>
      <w:rPr>
        <w:rFonts w:ascii="Symbol" w:hAnsi="Symbol" w:hint="default"/>
      </w:rPr>
    </w:lvl>
    <w:lvl w:ilvl="4" w:tplc="E87EB07C" w:tentative="1">
      <w:start w:val="1"/>
      <w:numFmt w:val="bullet"/>
      <w:lvlText w:val="o"/>
      <w:lvlJc w:val="left"/>
      <w:pPr>
        <w:tabs>
          <w:tab w:val="num" w:pos="3600"/>
        </w:tabs>
        <w:ind w:left="3600" w:hanging="360"/>
      </w:pPr>
      <w:rPr>
        <w:rFonts w:ascii="Courier New" w:hAnsi="Courier New" w:cs="Courier New" w:hint="default"/>
      </w:rPr>
    </w:lvl>
    <w:lvl w:ilvl="5" w:tplc="F1A02256" w:tentative="1">
      <w:start w:val="1"/>
      <w:numFmt w:val="bullet"/>
      <w:lvlText w:val=""/>
      <w:lvlJc w:val="left"/>
      <w:pPr>
        <w:tabs>
          <w:tab w:val="num" w:pos="4320"/>
        </w:tabs>
        <w:ind w:left="4320" w:hanging="360"/>
      </w:pPr>
      <w:rPr>
        <w:rFonts w:ascii="Wingdings" w:hAnsi="Wingdings" w:hint="default"/>
      </w:rPr>
    </w:lvl>
    <w:lvl w:ilvl="6" w:tplc="8472A112" w:tentative="1">
      <w:start w:val="1"/>
      <w:numFmt w:val="bullet"/>
      <w:lvlText w:val=""/>
      <w:lvlJc w:val="left"/>
      <w:pPr>
        <w:tabs>
          <w:tab w:val="num" w:pos="5040"/>
        </w:tabs>
        <w:ind w:left="5040" w:hanging="360"/>
      </w:pPr>
      <w:rPr>
        <w:rFonts w:ascii="Symbol" w:hAnsi="Symbol" w:hint="default"/>
      </w:rPr>
    </w:lvl>
    <w:lvl w:ilvl="7" w:tplc="C2CE0CA2" w:tentative="1">
      <w:start w:val="1"/>
      <w:numFmt w:val="bullet"/>
      <w:lvlText w:val="o"/>
      <w:lvlJc w:val="left"/>
      <w:pPr>
        <w:tabs>
          <w:tab w:val="num" w:pos="5760"/>
        </w:tabs>
        <w:ind w:left="5760" w:hanging="360"/>
      </w:pPr>
      <w:rPr>
        <w:rFonts w:ascii="Courier New" w:hAnsi="Courier New" w:cs="Courier New" w:hint="default"/>
      </w:rPr>
    </w:lvl>
    <w:lvl w:ilvl="8" w:tplc="28D268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40FEA85A">
      <w:start w:val="1"/>
      <w:numFmt w:val="decimal"/>
      <w:lvlText w:val="%1."/>
      <w:lvlJc w:val="left"/>
      <w:pPr>
        <w:ind w:left="720" w:hanging="360"/>
      </w:pPr>
    </w:lvl>
    <w:lvl w:ilvl="1" w:tplc="19B6CAAE" w:tentative="1">
      <w:start w:val="1"/>
      <w:numFmt w:val="lowerLetter"/>
      <w:lvlText w:val="%2."/>
      <w:lvlJc w:val="left"/>
      <w:pPr>
        <w:ind w:left="1440" w:hanging="360"/>
      </w:pPr>
    </w:lvl>
    <w:lvl w:ilvl="2" w:tplc="F46C87BA" w:tentative="1">
      <w:start w:val="1"/>
      <w:numFmt w:val="lowerRoman"/>
      <w:lvlText w:val="%3."/>
      <w:lvlJc w:val="right"/>
      <w:pPr>
        <w:ind w:left="2160" w:hanging="180"/>
      </w:pPr>
    </w:lvl>
    <w:lvl w:ilvl="3" w:tplc="8C7C0034" w:tentative="1">
      <w:start w:val="1"/>
      <w:numFmt w:val="decimal"/>
      <w:lvlText w:val="%4."/>
      <w:lvlJc w:val="left"/>
      <w:pPr>
        <w:ind w:left="2880" w:hanging="360"/>
      </w:pPr>
    </w:lvl>
    <w:lvl w:ilvl="4" w:tplc="440C0B86" w:tentative="1">
      <w:start w:val="1"/>
      <w:numFmt w:val="lowerLetter"/>
      <w:lvlText w:val="%5."/>
      <w:lvlJc w:val="left"/>
      <w:pPr>
        <w:ind w:left="3600" w:hanging="360"/>
      </w:pPr>
    </w:lvl>
    <w:lvl w:ilvl="5" w:tplc="5B8A4086" w:tentative="1">
      <w:start w:val="1"/>
      <w:numFmt w:val="lowerRoman"/>
      <w:lvlText w:val="%6."/>
      <w:lvlJc w:val="right"/>
      <w:pPr>
        <w:ind w:left="4320" w:hanging="180"/>
      </w:pPr>
    </w:lvl>
    <w:lvl w:ilvl="6" w:tplc="E5D24C30" w:tentative="1">
      <w:start w:val="1"/>
      <w:numFmt w:val="decimal"/>
      <w:lvlText w:val="%7."/>
      <w:lvlJc w:val="left"/>
      <w:pPr>
        <w:ind w:left="5040" w:hanging="360"/>
      </w:pPr>
    </w:lvl>
    <w:lvl w:ilvl="7" w:tplc="219CC1D8" w:tentative="1">
      <w:start w:val="1"/>
      <w:numFmt w:val="lowerLetter"/>
      <w:lvlText w:val="%8."/>
      <w:lvlJc w:val="left"/>
      <w:pPr>
        <w:ind w:left="5760" w:hanging="360"/>
      </w:pPr>
    </w:lvl>
    <w:lvl w:ilvl="8" w:tplc="0F326F2A"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DE7CE730">
      <w:start w:val="1"/>
      <w:numFmt w:val="bullet"/>
      <w:lvlText w:val=""/>
      <w:lvlJc w:val="left"/>
      <w:pPr>
        <w:ind w:left="1980" w:hanging="360"/>
      </w:pPr>
      <w:rPr>
        <w:rFonts w:ascii="Symbol" w:hAnsi="Symbol" w:hint="default"/>
      </w:rPr>
    </w:lvl>
    <w:lvl w:ilvl="1" w:tplc="A1608182" w:tentative="1">
      <w:start w:val="1"/>
      <w:numFmt w:val="bullet"/>
      <w:lvlText w:val="o"/>
      <w:lvlJc w:val="left"/>
      <w:pPr>
        <w:ind w:left="2700" w:hanging="360"/>
      </w:pPr>
      <w:rPr>
        <w:rFonts w:ascii="Courier New" w:hAnsi="Courier New" w:cs="Courier New" w:hint="default"/>
      </w:rPr>
    </w:lvl>
    <w:lvl w:ilvl="2" w:tplc="C2245636" w:tentative="1">
      <w:start w:val="1"/>
      <w:numFmt w:val="bullet"/>
      <w:lvlText w:val=""/>
      <w:lvlJc w:val="left"/>
      <w:pPr>
        <w:ind w:left="3420" w:hanging="360"/>
      </w:pPr>
      <w:rPr>
        <w:rFonts w:ascii="Wingdings" w:hAnsi="Wingdings" w:hint="default"/>
      </w:rPr>
    </w:lvl>
    <w:lvl w:ilvl="3" w:tplc="D66EE2E8" w:tentative="1">
      <w:start w:val="1"/>
      <w:numFmt w:val="bullet"/>
      <w:lvlText w:val=""/>
      <w:lvlJc w:val="left"/>
      <w:pPr>
        <w:ind w:left="4140" w:hanging="360"/>
      </w:pPr>
      <w:rPr>
        <w:rFonts w:ascii="Symbol" w:hAnsi="Symbol" w:hint="default"/>
      </w:rPr>
    </w:lvl>
    <w:lvl w:ilvl="4" w:tplc="97A6405A" w:tentative="1">
      <w:start w:val="1"/>
      <w:numFmt w:val="bullet"/>
      <w:lvlText w:val="o"/>
      <w:lvlJc w:val="left"/>
      <w:pPr>
        <w:ind w:left="4860" w:hanging="360"/>
      </w:pPr>
      <w:rPr>
        <w:rFonts w:ascii="Courier New" w:hAnsi="Courier New" w:cs="Courier New" w:hint="default"/>
      </w:rPr>
    </w:lvl>
    <w:lvl w:ilvl="5" w:tplc="25BAC2D8" w:tentative="1">
      <w:start w:val="1"/>
      <w:numFmt w:val="bullet"/>
      <w:lvlText w:val=""/>
      <w:lvlJc w:val="left"/>
      <w:pPr>
        <w:ind w:left="5580" w:hanging="360"/>
      </w:pPr>
      <w:rPr>
        <w:rFonts w:ascii="Wingdings" w:hAnsi="Wingdings" w:hint="default"/>
      </w:rPr>
    </w:lvl>
    <w:lvl w:ilvl="6" w:tplc="8AE63EE6" w:tentative="1">
      <w:start w:val="1"/>
      <w:numFmt w:val="bullet"/>
      <w:lvlText w:val=""/>
      <w:lvlJc w:val="left"/>
      <w:pPr>
        <w:ind w:left="6300" w:hanging="360"/>
      </w:pPr>
      <w:rPr>
        <w:rFonts w:ascii="Symbol" w:hAnsi="Symbol" w:hint="default"/>
      </w:rPr>
    </w:lvl>
    <w:lvl w:ilvl="7" w:tplc="59B29C3E" w:tentative="1">
      <w:start w:val="1"/>
      <w:numFmt w:val="bullet"/>
      <w:lvlText w:val="o"/>
      <w:lvlJc w:val="left"/>
      <w:pPr>
        <w:ind w:left="7020" w:hanging="360"/>
      </w:pPr>
      <w:rPr>
        <w:rFonts w:ascii="Courier New" w:hAnsi="Courier New" w:cs="Courier New" w:hint="default"/>
      </w:rPr>
    </w:lvl>
    <w:lvl w:ilvl="8" w:tplc="817E626A"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35964E26">
      <w:start w:val="1"/>
      <w:numFmt w:val="bullet"/>
      <w:lvlText w:val=""/>
      <w:lvlJc w:val="left"/>
      <w:pPr>
        <w:tabs>
          <w:tab w:val="num" w:pos="1440"/>
        </w:tabs>
        <w:ind w:left="1440" w:hanging="360"/>
      </w:pPr>
      <w:rPr>
        <w:rFonts w:ascii="Symbol" w:hAnsi="Symbol" w:hint="default"/>
      </w:rPr>
    </w:lvl>
    <w:lvl w:ilvl="1" w:tplc="7BBA3642" w:tentative="1">
      <w:start w:val="1"/>
      <w:numFmt w:val="bullet"/>
      <w:lvlText w:val="o"/>
      <w:lvlJc w:val="left"/>
      <w:pPr>
        <w:tabs>
          <w:tab w:val="num" w:pos="2160"/>
        </w:tabs>
        <w:ind w:left="2160" w:hanging="360"/>
      </w:pPr>
      <w:rPr>
        <w:rFonts w:ascii="Courier New" w:hAnsi="Courier New" w:cs="Courier New" w:hint="default"/>
      </w:rPr>
    </w:lvl>
    <w:lvl w:ilvl="2" w:tplc="DEF288EC" w:tentative="1">
      <w:start w:val="1"/>
      <w:numFmt w:val="bullet"/>
      <w:lvlText w:val=""/>
      <w:lvlJc w:val="left"/>
      <w:pPr>
        <w:tabs>
          <w:tab w:val="num" w:pos="2880"/>
        </w:tabs>
        <w:ind w:left="2880" w:hanging="360"/>
      </w:pPr>
      <w:rPr>
        <w:rFonts w:ascii="Wingdings" w:hAnsi="Wingdings" w:hint="default"/>
      </w:rPr>
    </w:lvl>
    <w:lvl w:ilvl="3" w:tplc="693EFAF0" w:tentative="1">
      <w:start w:val="1"/>
      <w:numFmt w:val="bullet"/>
      <w:lvlText w:val=""/>
      <w:lvlJc w:val="left"/>
      <w:pPr>
        <w:tabs>
          <w:tab w:val="num" w:pos="3600"/>
        </w:tabs>
        <w:ind w:left="3600" w:hanging="360"/>
      </w:pPr>
      <w:rPr>
        <w:rFonts w:ascii="Symbol" w:hAnsi="Symbol" w:hint="default"/>
      </w:rPr>
    </w:lvl>
    <w:lvl w:ilvl="4" w:tplc="6742ADBE" w:tentative="1">
      <w:start w:val="1"/>
      <w:numFmt w:val="bullet"/>
      <w:lvlText w:val="o"/>
      <w:lvlJc w:val="left"/>
      <w:pPr>
        <w:tabs>
          <w:tab w:val="num" w:pos="4320"/>
        </w:tabs>
        <w:ind w:left="4320" w:hanging="360"/>
      </w:pPr>
      <w:rPr>
        <w:rFonts w:ascii="Courier New" w:hAnsi="Courier New" w:cs="Courier New" w:hint="default"/>
      </w:rPr>
    </w:lvl>
    <w:lvl w:ilvl="5" w:tplc="F3BAB3DE" w:tentative="1">
      <w:start w:val="1"/>
      <w:numFmt w:val="bullet"/>
      <w:lvlText w:val=""/>
      <w:lvlJc w:val="left"/>
      <w:pPr>
        <w:tabs>
          <w:tab w:val="num" w:pos="5040"/>
        </w:tabs>
        <w:ind w:left="5040" w:hanging="360"/>
      </w:pPr>
      <w:rPr>
        <w:rFonts w:ascii="Wingdings" w:hAnsi="Wingdings" w:hint="default"/>
      </w:rPr>
    </w:lvl>
    <w:lvl w:ilvl="6" w:tplc="C63CA748" w:tentative="1">
      <w:start w:val="1"/>
      <w:numFmt w:val="bullet"/>
      <w:lvlText w:val=""/>
      <w:lvlJc w:val="left"/>
      <w:pPr>
        <w:tabs>
          <w:tab w:val="num" w:pos="5760"/>
        </w:tabs>
        <w:ind w:left="5760" w:hanging="360"/>
      </w:pPr>
      <w:rPr>
        <w:rFonts w:ascii="Symbol" w:hAnsi="Symbol" w:hint="default"/>
      </w:rPr>
    </w:lvl>
    <w:lvl w:ilvl="7" w:tplc="2132E468" w:tentative="1">
      <w:start w:val="1"/>
      <w:numFmt w:val="bullet"/>
      <w:lvlText w:val="o"/>
      <w:lvlJc w:val="left"/>
      <w:pPr>
        <w:tabs>
          <w:tab w:val="num" w:pos="6480"/>
        </w:tabs>
        <w:ind w:left="6480" w:hanging="360"/>
      </w:pPr>
      <w:rPr>
        <w:rFonts w:ascii="Courier New" w:hAnsi="Courier New" w:cs="Courier New" w:hint="default"/>
      </w:rPr>
    </w:lvl>
    <w:lvl w:ilvl="8" w:tplc="19A2D5BC"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8C725C2E">
      <w:start w:val="1"/>
      <w:numFmt w:val="upperLetter"/>
      <w:lvlText w:val="%1)"/>
      <w:lvlJc w:val="left"/>
      <w:pPr>
        <w:ind w:left="473" w:hanging="360"/>
      </w:pPr>
      <w:rPr>
        <w:rFonts w:hint="default"/>
      </w:rPr>
    </w:lvl>
    <w:lvl w:ilvl="1" w:tplc="EDD47C86" w:tentative="1">
      <w:start w:val="1"/>
      <w:numFmt w:val="lowerLetter"/>
      <w:lvlText w:val="%2."/>
      <w:lvlJc w:val="left"/>
      <w:pPr>
        <w:ind w:left="1193" w:hanging="360"/>
      </w:pPr>
    </w:lvl>
    <w:lvl w:ilvl="2" w:tplc="9CF638E8" w:tentative="1">
      <w:start w:val="1"/>
      <w:numFmt w:val="lowerRoman"/>
      <w:lvlText w:val="%3."/>
      <w:lvlJc w:val="right"/>
      <w:pPr>
        <w:ind w:left="1913" w:hanging="180"/>
      </w:pPr>
    </w:lvl>
    <w:lvl w:ilvl="3" w:tplc="79E6DA7A" w:tentative="1">
      <w:start w:val="1"/>
      <w:numFmt w:val="decimal"/>
      <w:lvlText w:val="%4."/>
      <w:lvlJc w:val="left"/>
      <w:pPr>
        <w:ind w:left="2633" w:hanging="360"/>
      </w:pPr>
    </w:lvl>
    <w:lvl w:ilvl="4" w:tplc="121063A8" w:tentative="1">
      <w:start w:val="1"/>
      <w:numFmt w:val="lowerLetter"/>
      <w:lvlText w:val="%5."/>
      <w:lvlJc w:val="left"/>
      <w:pPr>
        <w:ind w:left="3353" w:hanging="360"/>
      </w:pPr>
    </w:lvl>
    <w:lvl w:ilvl="5" w:tplc="7F50C81E" w:tentative="1">
      <w:start w:val="1"/>
      <w:numFmt w:val="lowerRoman"/>
      <w:lvlText w:val="%6."/>
      <w:lvlJc w:val="right"/>
      <w:pPr>
        <w:ind w:left="4073" w:hanging="180"/>
      </w:pPr>
    </w:lvl>
    <w:lvl w:ilvl="6" w:tplc="A30439F6" w:tentative="1">
      <w:start w:val="1"/>
      <w:numFmt w:val="decimal"/>
      <w:lvlText w:val="%7."/>
      <w:lvlJc w:val="left"/>
      <w:pPr>
        <w:ind w:left="4793" w:hanging="360"/>
      </w:pPr>
    </w:lvl>
    <w:lvl w:ilvl="7" w:tplc="FF0AAC0C" w:tentative="1">
      <w:start w:val="1"/>
      <w:numFmt w:val="lowerLetter"/>
      <w:lvlText w:val="%8."/>
      <w:lvlJc w:val="left"/>
      <w:pPr>
        <w:ind w:left="5513" w:hanging="360"/>
      </w:pPr>
    </w:lvl>
    <w:lvl w:ilvl="8" w:tplc="CDF6F102"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C4CA04CA">
      <w:start w:val="1"/>
      <w:numFmt w:val="upperLetter"/>
      <w:lvlText w:val="%1)"/>
      <w:lvlJc w:val="left"/>
      <w:pPr>
        <w:ind w:left="720" w:hanging="360"/>
      </w:pPr>
      <w:rPr>
        <w:rFonts w:hint="default"/>
      </w:rPr>
    </w:lvl>
    <w:lvl w:ilvl="1" w:tplc="3682970C" w:tentative="1">
      <w:start w:val="1"/>
      <w:numFmt w:val="lowerLetter"/>
      <w:lvlText w:val="%2."/>
      <w:lvlJc w:val="left"/>
      <w:pPr>
        <w:ind w:left="1440" w:hanging="360"/>
      </w:pPr>
    </w:lvl>
    <w:lvl w:ilvl="2" w:tplc="1EC00FA6" w:tentative="1">
      <w:start w:val="1"/>
      <w:numFmt w:val="lowerRoman"/>
      <w:lvlText w:val="%3."/>
      <w:lvlJc w:val="right"/>
      <w:pPr>
        <w:ind w:left="2160" w:hanging="180"/>
      </w:pPr>
    </w:lvl>
    <w:lvl w:ilvl="3" w:tplc="BE50AD3C" w:tentative="1">
      <w:start w:val="1"/>
      <w:numFmt w:val="decimal"/>
      <w:lvlText w:val="%4."/>
      <w:lvlJc w:val="left"/>
      <w:pPr>
        <w:ind w:left="2880" w:hanging="360"/>
      </w:pPr>
    </w:lvl>
    <w:lvl w:ilvl="4" w:tplc="84AEAB14" w:tentative="1">
      <w:start w:val="1"/>
      <w:numFmt w:val="lowerLetter"/>
      <w:lvlText w:val="%5."/>
      <w:lvlJc w:val="left"/>
      <w:pPr>
        <w:ind w:left="3600" w:hanging="360"/>
      </w:pPr>
    </w:lvl>
    <w:lvl w:ilvl="5" w:tplc="9BF806E0" w:tentative="1">
      <w:start w:val="1"/>
      <w:numFmt w:val="lowerRoman"/>
      <w:lvlText w:val="%6."/>
      <w:lvlJc w:val="right"/>
      <w:pPr>
        <w:ind w:left="4320" w:hanging="180"/>
      </w:pPr>
    </w:lvl>
    <w:lvl w:ilvl="6" w:tplc="13A85A82" w:tentative="1">
      <w:start w:val="1"/>
      <w:numFmt w:val="decimal"/>
      <w:lvlText w:val="%7."/>
      <w:lvlJc w:val="left"/>
      <w:pPr>
        <w:ind w:left="5040" w:hanging="360"/>
      </w:pPr>
    </w:lvl>
    <w:lvl w:ilvl="7" w:tplc="AE160E02" w:tentative="1">
      <w:start w:val="1"/>
      <w:numFmt w:val="lowerLetter"/>
      <w:lvlText w:val="%8."/>
      <w:lvlJc w:val="left"/>
      <w:pPr>
        <w:ind w:left="5760" w:hanging="360"/>
      </w:pPr>
    </w:lvl>
    <w:lvl w:ilvl="8" w:tplc="C93A55EE"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4B94E304">
      <w:start w:val="1"/>
      <w:numFmt w:val="lowerLetter"/>
      <w:lvlText w:val="%1."/>
      <w:lvlJc w:val="left"/>
      <w:pPr>
        <w:ind w:left="1080" w:hanging="360"/>
      </w:pPr>
      <w:rPr>
        <w:b/>
        <w:bCs/>
      </w:rPr>
    </w:lvl>
    <w:lvl w:ilvl="1" w:tplc="D02815C0">
      <w:start w:val="1"/>
      <w:numFmt w:val="lowerRoman"/>
      <w:lvlText w:val="(%2)"/>
      <w:lvlJc w:val="left"/>
      <w:pPr>
        <w:ind w:left="2160" w:hanging="720"/>
      </w:pPr>
      <w:rPr>
        <w:rFonts w:hint="default"/>
      </w:rPr>
    </w:lvl>
    <w:lvl w:ilvl="2" w:tplc="BB30B05E" w:tentative="1">
      <w:start w:val="1"/>
      <w:numFmt w:val="lowerRoman"/>
      <w:lvlText w:val="%3."/>
      <w:lvlJc w:val="right"/>
      <w:pPr>
        <w:ind w:left="2520" w:hanging="180"/>
      </w:pPr>
    </w:lvl>
    <w:lvl w:ilvl="3" w:tplc="A9BC466C" w:tentative="1">
      <w:start w:val="1"/>
      <w:numFmt w:val="decimal"/>
      <w:lvlText w:val="%4."/>
      <w:lvlJc w:val="left"/>
      <w:pPr>
        <w:ind w:left="3240" w:hanging="360"/>
      </w:pPr>
    </w:lvl>
    <w:lvl w:ilvl="4" w:tplc="E8F8EEA4" w:tentative="1">
      <w:start w:val="1"/>
      <w:numFmt w:val="lowerLetter"/>
      <w:lvlText w:val="%5."/>
      <w:lvlJc w:val="left"/>
      <w:pPr>
        <w:ind w:left="3960" w:hanging="360"/>
      </w:pPr>
    </w:lvl>
    <w:lvl w:ilvl="5" w:tplc="95C2ACDA" w:tentative="1">
      <w:start w:val="1"/>
      <w:numFmt w:val="lowerRoman"/>
      <w:lvlText w:val="%6."/>
      <w:lvlJc w:val="right"/>
      <w:pPr>
        <w:ind w:left="4680" w:hanging="180"/>
      </w:pPr>
    </w:lvl>
    <w:lvl w:ilvl="6" w:tplc="B068F164" w:tentative="1">
      <w:start w:val="1"/>
      <w:numFmt w:val="decimal"/>
      <w:lvlText w:val="%7."/>
      <w:lvlJc w:val="left"/>
      <w:pPr>
        <w:ind w:left="5400" w:hanging="360"/>
      </w:pPr>
    </w:lvl>
    <w:lvl w:ilvl="7" w:tplc="2A84955A" w:tentative="1">
      <w:start w:val="1"/>
      <w:numFmt w:val="lowerLetter"/>
      <w:lvlText w:val="%8."/>
      <w:lvlJc w:val="left"/>
      <w:pPr>
        <w:ind w:left="6120" w:hanging="360"/>
      </w:pPr>
    </w:lvl>
    <w:lvl w:ilvl="8" w:tplc="3B744988"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A4001032">
      <w:start w:val="1"/>
      <w:numFmt w:val="lowerLetter"/>
      <w:lvlText w:val="%1."/>
      <w:lvlJc w:val="left"/>
      <w:pPr>
        <w:ind w:left="720" w:hanging="360"/>
      </w:pPr>
    </w:lvl>
    <w:lvl w:ilvl="1" w:tplc="CFACA574" w:tentative="1">
      <w:start w:val="1"/>
      <w:numFmt w:val="lowerLetter"/>
      <w:lvlText w:val="%2."/>
      <w:lvlJc w:val="left"/>
      <w:pPr>
        <w:ind w:left="1440" w:hanging="360"/>
      </w:pPr>
    </w:lvl>
    <w:lvl w:ilvl="2" w:tplc="FE92ED86" w:tentative="1">
      <w:start w:val="1"/>
      <w:numFmt w:val="lowerRoman"/>
      <w:lvlText w:val="%3."/>
      <w:lvlJc w:val="right"/>
      <w:pPr>
        <w:ind w:left="2160" w:hanging="180"/>
      </w:pPr>
    </w:lvl>
    <w:lvl w:ilvl="3" w:tplc="AFE4696C">
      <w:start w:val="1"/>
      <w:numFmt w:val="decimal"/>
      <w:lvlText w:val="%4."/>
      <w:lvlJc w:val="left"/>
      <w:pPr>
        <w:ind w:left="2880" w:hanging="360"/>
      </w:pPr>
    </w:lvl>
    <w:lvl w:ilvl="4" w:tplc="B658DAB2">
      <w:start w:val="1"/>
      <w:numFmt w:val="lowerLetter"/>
      <w:lvlText w:val="%5."/>
      <w:lvlJc w:val="left"/>
      <w:pPr>
        <w:ind w:left="3600" w:hanging="360"/>
      </w:pPr>
    </w:lvl>
    <w:lvl w:ilvl="5" w:tplc="886AB466" w:tentative="1">
      <w:start w:val="1"/>
      <w:numFmt w:val="lowerRoman"/>
      <w:lvlText w:val="%6."/>
      <w:lvlJc w:val="right"/>
      <w:pPr>
        <w:ind w:left="4320" w:hanging="180"/>
      </w:pPr>
    </w:lvl>
    <w:lvl w:ilvl="6" w:tplc="62DC1DBA" w:tentative="1">
      <w:start w:val="1"/>
      <w:numFmt w:val="decimal"/>
      <w:lvlText w:val="%7."/>
      <w:lvlJc w:val="left"/>
      <w:pPr>
        <w:ind w:left="5040" w:hanging="360"/>
      </w:pPr>
    </w:lvl>
    <w:lvl w:ilvl="7" w:tplc="AD481BA8" w:tentative="1">
      <w:start w:val="1"/>
      <w:numFmt w:val="lowerLetter"/>
      <w:lvlText w:val="%8."/>
      <w:lvlJc w:val="left"/>
      <w:pPr>
        <w:ind w:left="5760" w:hanging="360"/>
      </w:pPr>
    </w:lvl>
    <w:lvl w:ilvl="8" w:tplc="75DC16FA"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316EC41A">
      <w:start w:val="1"/>
      <w:numFmt w:val="bullet"/>
      <w:lvlText w:val=""/>
      <w:lvlJc w:val="left"/>
      <w:pPr>
        <w:ind w:left="1260" w:hanging="360"/>
      </w:pPr>
      <w:rPr>
        <w:rFonts w:ascii="Symbol" w:hAnsi="Symbol" w:hint="default"/>
      </w:rPr>
    </w:lvl>
    <w:lvl w:ilvl="1" w:tplc="9F62F14A" w:tentative="1">
      <w:start w:val="1"/>
      <w:numFmt w:val="bullet"/>
      <w:lvlText w:val="o"/>
      <w:lvlJc w:val="left"/>
      <w:pPr>
        <w:ind w:left="1980" w:hanging="360"/>
      </w:pPr>
      <w:rPr>
        <w:rFonts w:ascii="Courier New" w:hAnsi="Courier New" w:cs="Courier New" w:hint="default"/>
      </w:rPr>
    </w:lvl>
    <w:lvl w:ilvl="2" w:tplc="46102D22" w:tentative="1">
      <w:start w:val="1"/>
      <w:numFmt w:val="bullet"/>
      <w:lvlText w:val=""/>
      <w:lvlJc w:val="left"/>
      <w:pPr>
        <w:ind w:left="2700" w:hanging="360"/>
      </w:pPr>
      <w:rPr>
        <w:rFonts w:ascii="Wingdings" w:hAnsi="Wingdings" w:hint="default"/>
      </w:rPr>
    </w:lvl>
    <w:lvl w:ilvl="3" w:tplc="CFE040CC" w:tentative="1">
      <w:start w:val="1"/>
      <w:numFmt w:val="bullet"/>
      <w:lvlText w:val=""/>
      <w:lvlJc w:val="left"/>
      <w:pPr>
        <w:ind w:left="3420" w:hanging="360"/>
      </w:pPr>
      <w:rPr>
        <w:rFonts w:ascii="Symbol" w:hAnsi="Symbol" w:hint="default"/>
      </w:rPr>
    </w:lvl>
    <w:lvl w:ilvl="4" w:tplc="2388A028" w:tentative="1">
      <w:start w:val="1"/>
      <w:numFmt w:val="bullet"/>
      <w:lvlText w:val="o"/>
      <w:lvlJc w:val="left"/>
      <w:pPr>
        <w:ind w:left="4140" w:hanging="360"/>
      </w:pPr>
      <w:rPr>
        <w:rFonts w:ascii="Courier New" w:hAnsi="Courier New" w:cs="Courier New" w:hint="default"/>
      </w:rPr>
    </w:lvl>
    <w:lvl w:ilvl="5" w:tplc="BBD8F00A" w:tentative="1">
      <w:start w:val="1"/>
      <w:numFmt w:val="bullet"/>
      <w:lvlText w:val=""/>
      <w:lvlJc w:val="left"/>
      <w:pPr>
        <w:ind w:left="4860" w:hanging="360"/>
      </w:pPr>
      <w:rPr>
        <w:rFonts w:ascii="Wingdings" w:hAnsi="Wingdings" w:hint="default"/>
      </w:rPr>
    </w:lvl>
    <w:lvl w:ilvl="6" w:tplc="3FC4CE1C" w:tentative="1">
      <w:start w:val="1"/>
      <w:numFmt w:val="bullet"/>
      <w:lvlText w:val=""/>
      <w:lvlJc w:val="left"/>
      <w:pPr>
        <w:ind w:left="5580" w:hanging="360"/>
      </w:pPr>
      <w:rPr>
        <w:rFonts w:ascii="Symbol" w:hAnsi="Symbol" w:hint="default"/>
      </w:rPr>
    </w:lvl>
    <w:lvl w:ilvl="7" w:tplc="99607762" w:tentative="1">
      <w:start w:val="1"/>
      <w:numFmt w:val="bullet"/>
      <w:lvlText w:val="o"/>
      <w:lvlJc w:val="left"/>
      <w:pPr>
        <w:ind w:left="6300" w:hanging="360"/>
      </w:pPr>
      <w:rPr>
        <w:rFonts w:ascii="Courier New" w:hAnsi="Courier New" w:cs="Courier New" w:hint="default"/>
      </w:rPr>
    </w:lvl>
    <w:lvl w:ilvl="8" w:tplc="5AA25D92"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B680D736">
      <w:start w:val="1"/>
      <w:numFmt w:val="upperLetter"/>
      <w:lvlText w:val="%1)"/>
      <w:lvlJc w:val="left"/>
      <w:pPr>
        <w:ind w:left="473" w:hanging="360"/>
      </w:pPr>
      <w:rPr>
        <w:rFonts w:hint="default"/>
      </w:rPr>
    </w:lvl>
    <w:lvl w:ilvl="1" w:tplc="E9C4A80C" w:tentative="1">
      <w:start w:val="1"/>
      <w:numFmt w:val="lowerLetter"/>
      <w:lvlText w:val="%2."/>
      <w:lvlJc w:val="left"/>
      <w:pPr>
        <w:ind w:left="1193" w:hanging="360"/>
      </w:pPr>
    </w:lvl>
    <w:lvl w:ilvl="2" w:tplc="595C9084" w:tentative="1">
      <w:start w:val="1"/>
      <w:numFmt w:val="lowerRoman"/>
      <w:lvlText w:val="%3."/>
      <w:lvlJc w:val="right"/>
      <w:pPr>
        <w:ind w:left="1913" w:hanging="180"/>
      </w:pPr>
    </w:lvl>
    <w:lvl w:ilvl="3" w:tplc="95E62AFE" w:tentative="1">
      <w:start w:val="1"/>
      <w:numFmt w:val="decimal"/>
      <w:lvlText w:val="%4."/>
      <w:lvlJc w:val="left"/>
      <w:pPr>
        <w:ind w:left="2633" w:hanging="360"/>
      </w:pPr>
    </w:lvl>
    <w:lvl w:ilvl="4" w:tplc="B13E1CA2" w:tentative="1">
      <w:start w:val="1"/>
      <w:numFmt w:val="lowerLetter"/>
      <w:lvlText w:val="%5."/>
      <w:lvlJc w:val="left"/>
      <w:pPr>
        <w:ind w:left="3353" w:hanging="360"/>
      </w:pPr>
    </w:lvl>
    <w:lvl w:ilvl="5" w:tplc="B4C44498" w:tentative="1">
      <w:start w:val="1"/>
      <w:numFmt w:val="lowerRoman"/>
      <w:lvlText w:val="%6."/>
      <w:lvlJc w:val="right"/>
      <w:pPr>
        <w:ind w:left="4073" w:hanging="180"/>
      </w:pPr>
    </w:lvl>
    <w:lvl w:ilvl="6" w:tplc="FB48C190" w:tentative="1">
      <w:start w:val="1"/>
      <w:numFmt w:val="decimal"/>
      <w:lvlText w:val="%7."/>
      <w:lvlJc w:val="left"/>
      <w:pPr>
        <w:ind w:left="4793" w:hanging="360"/>
      </w:pPr>
    </w:lvl>
    <w:lvl w:ilvl="7" w:tplc="26A02C6C" w:tentative="1">
      <w:start w:val="1"/>
      <w:numFmt w:val="lowerLetter"/>
      <w:lvlText w:val="%8."/>
      <w:lvlJc w:val="left"/>
      <w:pPr>
        <w:ind w:left="5513" w:hanging="360"/>
      </w:pPr>
    </w:lvl>
    <w:lvl w:ilvl="8" w:tplc="8B2E0BD4"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2242AB16">
      <w:start w:val="1"/>
      <w:numFmt w:val="bullet"/>
      <w:lvlText w:val=""/>
      <w:lvlJc w:val="left"/>
      <w:pPr>
        <w:ind w:left="720" w:hanging="360"/>
      </w:pPr>
      <w:rPr>
        <w:rFonts w:ascii="Symbol" w:hAnsi="Symbol" w:hint="default"/>
      </w:rPr>
    </w:lvl>
    <w:lvl w:ilvl="1" w:tplc="E370C372" w:tentative="1">
      <w:start w:val="1"/>
      <w:numFmt w:val="bullet"/>
      <w:lvlText w:val="o"/>
      <w:lvlJc w:val="left"/>
      <w:pPr>
        <w:ind w:left="1440" w:hanging="360"/>
      </w:pPr>
      <w:rPr>
        <w:rFonts w:ascii="Courier New" w:hAnsi="Courier New" w:cs="Courier New" w:hint="default"/>
      </w:rPr>
    </w:lvl>
    <w:lvl w:ilvl="2" w:tplc="92CC2430" w:tentative="1">
      <w:start w:val="1"/>
      <w:numFmt w:val="bullet"/>
      <w:lvlText w:val=""/>
      <w:lvlJc w:val="left"/>
      <w:pPr>
        <w:ind w:left="2160" w:hanging="360"/>
      </w:pPr>
      <w:rPr>
        <w:rFonts w:ascii="Wingdings" w:hAnsi="Wingdings" w:hint="default"/>
      </w:rPr>
    </w:lvl>
    <w:lvl w:ilvl="3" w:tplc="8FCADAE8" w:tentative="1">
      <w:start w:val="1"/>
      <w:numFmt w:val="bullet"/>
      <w:lvlText w:val=""/>
      <w:lvlJc w:val="left"/>
      <w:pPr>
        <w:ind w:left="2880" w:hanging="360"/>
      </w:pPr>
      <w:rPr>
        <w:rFonts w:ascii="Symbol" w:hAnsi="Symbol" w:hint="default"/>
      </w:rPr>
    </w:lvl>
    <w:lvl w:ilvl="4" w:tplc="AA7E3CAE" w:tentative="1">
      <w:start w:val="1"/>
      <w:numFmt w:val="bullet"/>
      <w:lvlText w:val="o"/>
      <w:lvlJc w:val="left"/>
      <w:pPr>
        <w:ind w:left="3600" w:hanging="360"/>
      </w:pPr>
      <w:rPr>
        <w:rFonts w:ascii="Courier New" w:hAnsi="Courier New" w:cs="Courier New" w:hint="default"/>
      </w:rPr>
    </w:lvl>
    <w:lvl w:ilvl="5" w:tplc="3202EA8A" w:tentative="1">
      <w:start w:val="1"/>
      <w:numFmt w:val="bullet"/>
      <w:lvlText w:val=""/>
      <w:lvlJc w:val="left"/>
      <w:pPr>
        <w:ind w:left="4320" w:hanging="360"/>
      </w:pPr>
      <w:rPr>
        <w:rFonts w:ascii="Wingdings" w:hAnsi="Wingdings" w:hint="default"/>
      </w:rPr>
    </w:lvl>
    <w:lvl w:ilvl="6" w:tplc="6DEC86DA" w:tentative="1">
      <w:start w:val="1"/>
      <w:numFmt w:val="bullet"/>
      <w:lvlText w:val=""/>
      <w:lvlJc w:val="left"/>
      <w:pPr>
        <w:ind w:left="5040" w:hanging="360"/>
      </w:pPr>
      <w:rPr>
        <w:rFonts w:ascii="Symbol" w:hAnsi="Symbol" w:hint="default"/>
      </w:rPr>
    </w:lvl>
    <w:lvl w:ilvl="7" w:tplc="F8DEF800" w:tentative="1">
      <w:start w:val="1"/>
      <w:numFmt w:val="bullet"/>
      <w:lvlText w:val="o"/>
      <w:lvlJc w:val="left"/>
      <w:pPr>
        <w:ind w:left="5760" w:hanging="360"/>
      </w:pPr>
      <w:rPr>
        <w:rFonts w:ascii="Courier New" w:hAnsi="Courier New" w:cs="Courier New" w:hint="default"/>
      </w:rPr>
    </w:lvl>
    <w:lvl w:ilvl="8" w:tplc="C7B89880"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FE8254EE">
      <w:start w:val="1"/>
      <w:numFmt w:val="bullet"/>
      <w:lvlText w:val=""/>
      <w:lvlJc w:val="left"/>
      <w:pPr>
        <w:ind w:left="1080" w:hanging="360"/>
      </w:pPr>
      <w:rPr>
        <w:rFonts w:ascii="Symbol" w:hAnsi="Symbol" w:hint="default"/>
      </w:rPr>
    </w:lvl>
    <w:lvl w:ilvl="1" w:tplc="8EA863D8" w:tentative="1">
      <w:start w:val="1"/>
      <w:numFmt w:val="bullet"/>
      <w:lvlText w:val="o"/>
      <w:lvlJc w:val="left"/>
      <w:pPr>
        <w:ind w:left="1800" w:hanging="360"/>
      </w:pPr>
      <w:rPr>
        <w:rFonts w:ascii="Courier New" w:hAnsi="Courier New" w:cs="Courier New" w:hint="default"/>
      </w:rPr>
    </w:lvl>
    <w:lvl w:ilvl="2" w:tplc="B5BA1D36" w:tentative="1">
      <w:start w:val="1"/>
      <w:numFmt w:val="bullet"/>
      <w:lvlText w:val=""/>
      <w:lvlJc w:val="left"/>
      <w:pPr>
        <w:ind w:left="2520" w:hanging="360"/>
      </w:pPr>
      <w:rPr>
        <w:rFonts w:ascii="Wingdings" w:hAnsi="Wingdings" w:hint="default"/>
      </w:rPr>
    </w:lvl>
    <w:lvl w:ilvl="3" w:tplc="EE2233A4" w:tentative="1">
      <w:start w:val="1"/>
      <w:numFmt w:val="bullet"/>
      <w:lvlText w:val=""/>
      <w:lvlJc w:val="left"/>
      <w:pPr>
        <w:ind w:left="3240" w:hanging="360"/>
      </w:pPr>
      <w:rPr>
        <w:rFonts w:ascii="Symbol" w:hAnsi="Symbol" w:hint="default"/>
      </w:rPr>
    </w:lvl>
    <w:lvl w:ilvl="4" w:tplc="8E54AE46" w:tentative="1">
      <w:start w:val="1"/>
      <w:numFmt w:val="bullet"/>
      <w:lvlText w:val="o"/>
      <w:lvlJc w:val="left"/>
      <w:pPr>
        <w:ind w:left="3960" w:hanging="360"/>
      </w:pPr>
      <w:rPr>
        <w:rFonts w:ascii="Courier New" w:hAnsi="Courier New" w:cs="Courier New" w:hint="default"/>
      </w:rPr>
    </w:lvl>
    <w:lvl w:ilvl="5" w:tplc="3C8656A0" w:tentative="1">
      <w:start w:val="1"/>
      <w:numFmt w:val="bullet"/>
      <w:lvlText w:val=""/>
      <w:lvlJc w:val="left"/>
      <w:pPr>
        <w:ind w:left="4680" w:hanging="360"/>
      </w:pPr>
      <w:rPr>
        <w:rFonts w:ascii="Wingdings" w:hAnsi="Wingdings" w:hint="default"/>
      </w:rPr>
    </w:lvl>
    <w:lvl w:ilvl="6" w:tplc="A2448C40" w:tentative="1">
      <w:start w:val="1"/>
      <w:numFmt w:val="bullet"/>
      <w:lvlText w:val=""/>
      <w:lvlJc w:val="left"/>
      <w:pPr>
        <w:ind w:left="5400" w:hanging="360"/>
      </w:pPr>
      <w:rPr>
        <w:rFonts w:ascii="Symbol" w:hAnsi="Symbol" w:hint="default"/>
      </w:rPr>
    </w:lvl>
    <w:lvl w:ilvl="7" w:tplc="D460DCE4" w:tentative="1">
      <w:start w:val="1"/>
      <w:numFmt w:val="bullet"/>
      <w:lvlText w:val="o"/>
      <w:lvlJc w:val="left"/>
      <w:pPr>
        <w:ind w:left="6120" w:hanging="360"/>
      </w:pPr>
      <w:rPr>
        <w:rFonts w:ascii="Courier New" w:hAnsi="Courier New" w:cs="Courier New" w:hint="default"/>
      </w:rPr>
    </w:lvl>
    <w:lvl w:ilvl="8" w:tplc="B5F02870"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A5B8247C">
      <w:start w:val="1"/>
      <w:numFmt w:val="upperLetter"/>
      <w:lvlText w:val="%1)"/>
      <w:lvlJc w:val="left"/>
      <w:pPr>
        <w:ind w:left="1080" w:hanging="360"/>
      </w:pPr>
      <w:rPr>
        <w:rFonts w:hint="default"/>
        <w:color w:val="000000"/>
      </w:rPr>
    </w:lvl>
    <w:lvl w:ilvl="1" w:tplc="159EBD38" w:tentative="1">
      <w:start w:val="1"/>
      <w:numFmt w:val="lowerLetter"/>
      <w:lvlText w:val="%2."/>
      <w:lvlJc w:val="left"/>
      <w:pPr>
        <w:ind w:left="1800" w:hanging="360"/>
      </w:pPr>
    </w:lvl>
    <w:lvl w:ilvl="2" w:tplc="95B85FC8" w:tentative="1">
      <w:start w:val="1"/>
      <w:numFmt w:val="lowerRoman"/>
      <w:lvlText w:val="%3."/>
      <w:lvlJc w:val="right"/>
      <w:pPr>
        <w:ind w:left="2520" w:hanging="180"/>
      </w:pPr>
    </w:lvl>
    <w:lvl w:ilvl="3" w:tplc="E21CFC12" w:tentative="1">
      <w:start w:val="1"/>
      <w:numFmt w:val="decimal"/>
      <w:lvlText w:val="%4."/>
      <w:lvlJc w:val="left"/>
      <w:pPr>
        <w:ind w:left="3240" w:hanging="360"/>
      </w:pPr>
    </w:lvl>
    <w:lvl w:ilvl="4" w:tplc="EC88D204" w:tentative="1">
      <w:start w:val="1"/>
      <w:numFmt w:val="lowerLetter"/>
      <w:lvlText w:val="%5."/>
      <w:lvlJc w:val="left"/>
      <w:pPr>
        <w:ind w:left="3960" w:hanging="360"/>
      </w:pPr>
    </w:lvl>
    <w:lvl w:ilvl="5" w:tplc="7140083E" w:tentative="1">
      <w:start w:val="1"/>
      <w:numFmt w:val="lowerRoman"/>
      <w:lvlText w:val="%6."/>
      <w:lvlJc w:val="right"/>
      <w:pPr>
        <w:ind w:left="4680" w:hanging="180"/>
      </w:pPr>
    </w:lvl>
    <w:lvl w:ilvl="6" w:tplc="A4B2BB0A" w:tentative="1">
      <w:start w:val="1"/>
      <w:numFmt w:val="decimal"/>
      <w:lvlText w:val="%7."/>
      <w:lvlJc w:val="left"/>
      <w:pPr>
        <w:ind w:left="5400" w:hanging="360"/>
      </w:pPr>
    </w:lvl>
    <w:lvl w:ilvl="7" w:tplc="FCE0A2A4" w:tentative="1">
      <w:start w:val="1"/>
      <w:numFmt w:val="lowerLetter"/>
      <w:lvlText w:val="%8."/>
      <w:lvlJc w:val="left"/>
      <w:pPr>
        <w:ind w:left="6120" w:hanging="360"/>
      </w:pPr>
    </w:lvl>
    <w:lvl w:ilvl="8" w:tplc="FC1C79A6"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F2FEA96E">
      <w:start w:val="1"/>
      <w:numFmt w:val="bullet"/>
      <w:pStyle w:val="Bullet3"/>
      <w:lvlText w:val=""/>
      <w:lvlJc w:val="left"/>
      <w:pPr>
        <w:tabs>
          <w:tab w:val="num" w:pos="1080"/>
        </w:tabs>
        <w:ind w:left="1077" w:hanging="357"/>
      </w:pPr>
      <w:rPr>
        <w:rFonts w:ascii="Symbol" w:hAnsi="Symbol" w:cs="Symbol" w:hint="default"/>
      </w:rPr>
    </w:lvl>
    <w:lvl w:ilvl="1" w:tplc="7A58017E">
      <w:start w:val="1"/>
      <w:numFmt w:val="bullet"/>
      <w:lvlText w:val="o"/>
      <w:lvlJc w:val="left"/>
      <w:pPr>
        <w:tabs>
          <w:tab w:val="num" w:pos="1440"/>
        </w:tabs>
        <w:ind w:left="1440" w:hanging="360"/>
      </w:pPr>
      <w:rPr>
        <w:rFonts w:ascii="Courier New" w:hAnsi="Courier New" w:cs="Courier New" w:hint="default"/>
      </w:rPr>
    </w:lvl>
    <w:lvl w:ilvl="2" w:tplc="75D87A38">
      <w:start w:val="1"/>
      <w:numFmt w:val="bullet"/>
      <w:lvlText w:val=""/>
      <w:lvlJc w:val="left"/>
      <w:pPr>
        <w:tabs>
          <w:tab w:val="num" w:pos="2160"/>
        </w:tabs>
        <w:ind w:left="2160" w:hanging="360"/>
      </w:pPr>
      <w:rPr>
        <w:rFonts w:ascii="Wingdings" w:hAnsi="Wingdings" w:cs="Wingdings" w:hint="default"/>
      </w:rPr>
    </w:lvl>
    <w:lvl w:ilvl="3" w:tplc="3EEEC10A">
      <w:start w:val="1"/>
      <w:numFmt w:val="bullet"/>
      <w:lvlText w:val=""/>
      <w:lvlJc w:val="left"/>
      <w:pPr>
        <w:tabs>
          <w:tab w:val="num" w:pos="2880"/>
        </w:tabs>
        <w:ind w:left="2880" w:hanging="360"/>
      </w:pPr>
      <w:rPr>
        <w:rFonts w:ascii="Symbol" w:hAnsi="Symbol" w:cs="Symbol" w:hint="default"/>
      </w:rPr>
    </w:lvl>
    <w:lvl w:ilvl="4" w:tplc="1750CCF0">
      <w:start w:val="1"/>
      <w:numFmt w:val="bullet"/>
      <w:lvlText w:val="o"/>
      <w:lvlJc w:val="left"/>
      <w:pPr>
        <w:tabs>
          <w:tab w:val="num" w:pos="3600"/>
        </w:tabs>
        <w:ind w:left="3600" w:hanging="360"/>
      </w:pPr>
      <w:rPr>
        <w:rFonts w:ascii="Courier New" w:hAnsi="Courier New" w:cs="Courier New" w:hint="default"/>
      </w:rPr>
    </w:lvl>
    <w:lvl w:ilvl="5" w:tplc="BF56BC64">
      <w:start w:val="1"/>
      <w:numFmt w:val="bullet"/>
      <w:lvlText w:val=""/>
      <w:lvlJc w:val="left"/>
      <w:pPr>
        <w:tabs>
          <w:tab w:val="num" w:pos="4320"/>
        </w:tabs>
        <w:ind w:left="4320" w:hanging="360"/>
      </w:pPr>
      <w:rPr>
        <w:rFonts w:ascii="Wingdings" w:hAnsi="Wingdings" w:cs="Wingdings" w:hint="default"/>
      </w:rPr>
    </w:lvl>
    <w:lvl w:ilvl="6" w:tplc="DEEA7208">
      <w:start w:val="1"/>
      <w:numFmt w:val="bullet"/>
      <w:lvlText w:val=""/>
      <w:lvlJc w:val="left"/>
      <w:pPr>
        <w:tabs>
          <w:tab w:val="num" w:pos="5040"/>
        </w:tabs>
        <w:ind w:left="5040" w:hanging="360"/>
      </w:pPr>
      <w:rPr>
        <w:rFonts w:ascii="Symbol" w:hAnsi="Symbol" w:cs="Symbol" w:hint="default"/>
      </w:rPr>
    </w:lvl>
    <w:lvl w:ilvl="7" w:tplc="2F7E3A16">
      <w:start w:val="1"/>
      <w:numFmt w:val="bullet"/>
      <w:lvlText w:val="o"/>
      <w:lvlJc w:val="left"/>
      <w:pPr>
        <w:tabs>
          <w:tab w:val="num" w:pos="5760"/>
        </w:tabs>
        <w:ind w:left="5760" w:hanging="360"/>
      </w:pPr>
      <w:rPr>
        <w:rFonts w:ascii="Courier New" w:hAnsi="Courier New" w:cs="Courier New" w:hint="default"/>
      </w:rPr>
    </w:lvl>
    <w:lvl w:ilvl="8" w:tplc="EF3A4DD6">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2F903732">
      <w:start w:val="1"/>
      <w:numFmt w:val="decimal"/>
      <w:lvlText w:val="%1)"/>
      <w:lvlJc w:val="left"/>
      <w:pPr>
        <w:ind w:left="720" w:hanging="360"/>
      </w:pPr>
      <w:rPr>
        <w:rFonts w:hint="default"/>
        <w:b/>
        <w:bCs/>
      </w:rPr>
    </w:lvl>
    <w:lvl w:ilvl="1" w:tplc="E6A4E5E6" w:tentative="1">
      <w:start w:val="1"/>
      <w:numFmt w:val="lowerLetter"/>
      <w:lvlText w:val="%2."/>
      <w:lvlJc w:val="left"/>
      <w:pPr>
        <w:ind w:left="1440" w:hanging="360"/>
      </w:pPr>
    </w:lvl>
    <w:lvl w:ilvl="2" w:tplc="430EDCB2" w:tentative="1">
      <w:start w:val="1"/>
      <w:numFmt w:val="lowerRoman"/>
      <w:lvlText w:val="%3."/>
      <w:lvlJc w:val="right"/>
      <w:pPr>
        <w:ind w:left="2160" w:hanging="180"/>
      </w:pPr>
    </w:lvl>
    <w:lvl w:ilvl="3" w:tplc="24C61562" w:tentative="1">
      <w:start w:val="1"/>
      <w:numFmt w:val="decimal"/>
      <w:lvlText w:val="%4."/>
      <w:lvlJc w:val="left"/>
      <w:pPr>
        <w:ind w:left="2880" w:hanging="360"/>
      </w:pPr>
    </w:lvl>
    <w:lvl w:ilvl="4" w:tplc="D74E44FA" w:tentative="1">
      <w:start w:val="1"/>
      <w:numFmt w:val="lowerLetter"/>
      <w:lvlText w:val="%5."/>
      <w:lvlJc w:val="left"/>
      <w:pPr>
        <w:ind w:left="3600" w:hanging="360"/>
      </w:pPr>
    </w:lvl>
    <w:lvl w:ilvl="5" w:tplc="B734FDD6" w:tentative="1">
      <w:start w:val="1"/>
      <w:numFmt w:val="lowerRoman"/>
      <w:lvlText w:val="%6."/>
      <w:lvlJc w:val="right"/>
      <w:pPr>
        <w:ind w:left="4320" w:hanging="180"/>
      </w:pPr>
    </w:lvl>
    <w:lvl w:ilvl="6" w:tplc="A7B8D57C" w:tentative="1">
      <w:start w:val="1"/>
      <w:numFmt w:val="decimal"/>
      <w:lvlText w:val="%7."/>
      <w:lvlJc w:val="left"/>
      <w:pPr>
        <w:ind w:left="5040" w:hanging="360"/>
      </w:pPr>
    </w:lvl>
    <w:lvl w:ilvl="7" w:tplc="863ABE34" w:tentative="1">
      <w:start w:val="1"/>
      <w:numFmt w:val="lowerLetter"/>
      <w:lvlText w:val="%8."/>
      <w:lvlJc w:val="left"/>
      <w:pPr>
        <w:ind w:left="5760" w:hanging="360"/>
      </w:pPr>
    </w:lvl>
    <w:lvl w:ilvl="8" w:tplc="80E07CB0"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659CB0A4">
      <w:start w:val="1"/>
      <w:numFmt w:val="bullet"/>
      <w:lvlText w:val=""/>
      <w:lvlJc w:val="left"/>
      <w:pPr>
        <w:ind w:left="360" w:hanging="360"/>
      </w:pPr>
      <w:rPr>
        <w:rFonts w:ascii="Symbol" w:hAnsi="Symbol" w:hint="default"/>
      </w:rPr>
    </w:lvl>
    <w:lvl w:ilvl="1" w:tplc="2AA8FE36">
      <w:start w:val="1"/>
      <w:numFmt w:val="decimal"/>
      <w:lvlText w:val="%2."/>
      <w:lvlJc w:val="left"/>
      <w:pPr>
        <w:tabs>
          <w:tab w:val="num" w:pos="1440"/>
        </w:tabs>
        <w:ind w:left="1440" w:hanging="360"/>
      </w:pPr>
    </w:lvl>
    <w:lvl w:ilvl="2" w:tplc="F2E4C1B4">
      <w:start w:val="1"/>
      <w:numFmt w:val="decimal"/>
      <w:lvlText w:val="%3."/>
      <w:lvlJc w:val="left"/>
      <w:pPr>
        <w:tabs>
          <w:tab w:val="num" w:pos="2160"/>
        </w:tabs>
        <w:ind w:left="2160" w:hanging="360"/>
      </w:pPr>
    </w:lvl>
    <w:lvl w:ilvl="3" w:tplc="8EF2749E">
      <w:start w:val="1"/>
      <w:numFmt w:val="decimal"/>
      <w:lvlText w:val="%4."/>
      <w:lvlJc w:val="left"/>
      <w:pPr>
        <w:tabs>
          <w:tab w:val="num" w:pos="2880"/>
        </w:tabs>
        <w:ind w:left="2880" w:hanging="360"/>
      </w:pPr>
    </w:lvl>
    <w:lvl w:ilvl="4" w:tplc="56CAF7CE">
      <w:start w:val="1"/>
      <w:numFmt w:val="decimal"/>
      <w:lvlText w:val="%5."/>
      <w:lvlJc w:val="left"/>
      <w:pPr>
        <w:tabs>
          <w:tab w:val="num" w:pos="3600"/>
        </w:tabs>
        <w:ind w:left="3600" w:hanging="360"/>
      </w:pPr>
    </w:lvl>
    <w:lvl w:ilvl="5" w:tplc="5CAA46A0">
      <w:start w:val="1"/>
      <w:numFmt w:val="decimal"/>
      <w:lvlText w:val="%6."/>
      <w:lvlJc w:val="left"/>
      <w:pPr>
        <w:tabs>
          <w:tab w:val="num" w:pos="4320"/>
        </w:tabs>
        <w:ind w:left="4320" w:hanging="360"/>
      </w:pPr>
    </w:lvl>
    <w:lvl w:ilvl="6" w:tplc="DB66657C">
      <w:start w:val="1"/>
      <w:numFmt w:val="decimal"/>
      <w:lvlText w:val="%7."/>
      <w:lvlJc w:val="left"/>
      <w:pPr>
        <w:tabs>
          <w:tab w:val="num" w:pos="5040"/>
        </w:tabs>
        <w:ind w:left="5040" w:hanging="360"/>
      </w:pPr>
    </w:lvl>
    <w:lvl w:ilvl="7" w:tplc="B4269312">
      <w:start w:val="1"/>
      <w:numFmt w:val="decimal"/>
      <w:lvlText w:val="%8."/>
      <w:lvlJc w:val="left"/>
      <w:pPr>
        <w:tabs>
          <w:tab w:val="num" w:pos="5760"/>
        </w:tabs>
        <w:ind w:left="5760" w:hanging="360"/>
      </w:pPr>
    </w:lvl>
    <w:lvl w:ilvl="8" w:tplc="B57A943C">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4E5A4F10">
      <w:start w:val="1"/>
      <w:numFmt w:val="bullet"/>
      <w:lvlText w:val=""/>
      <w:lvlJc w:val="left"/>
      <w:pPr>
        <w:ind w:left="720" w:hanging="360"/>
      </w:pPr>
      <w:rPr>
        <w:rFonts w:ascii="Symbol" w:hAnsi="Symbol" w:hint="default"/>
      </w:rPr>
    </w:lvl>
    <w:lvl w:ilvl="1" w:tplc="937219A4" w:tentative="1">
      <w:start w:val="1"/>
      <w:numFmt w:val="bullet"/>
      <w:lvlText w:val="o"/>
      <w:lvlJc w:val="left"/>
      <w:pPr>
        <w:ind w:left="1440" w:hanging="360"/>
      </w:pPr>
      <w:rPr>
        <w:rFonts w:ascii="Courier New" w:hAnsi="Courier New" w:cs="Courier New" w:hint="default"/>
      </w:rPr>
    </w:lvl>
    <w:lvl w:ilvl="2" w:tplc="20D0309C" w:tentative="1">
      <w:start w:val="1"/>
      <w:numFmt w:val="bullet"/>
      <w:lvlText w:val=""/>
      <w:lvlJc w:val="left"/>
      <w:pPr>
        <w:ind w:left="2160" w:hanging="360"/>
      </w:pPr>
      <w:rPr>
        <w:rFonts w:ascii="Wingdings" w:hAnsi="Wingdings" w:hint="default"/>
      </w:rPr>
    </w:lvl>
    <w:lvl w:ilvl="3" w:tplc="40CC627A" w:tentative="1">
      <w:start w:val="1"/>
      <w:numFmt w:val="bullet"/>
      <w:lvlText w:val=""/>
      <w:lvlJc w:val="left"/>
      <w:pPr>
        <w:ind w:left="2880" w:hanging="360"/>
      </w:pPr>
      <w:rPr>
        <w:rFonts w:ascii="Symbol" w:hAnsi="Symbol" w:hint="default"/>
      </w:rPr>
    </w:lvl>
    <w:lvl w:ilvl="4" w:tplc="6DF6DF60" w:tentative="1">
      <w:start w:val="1"/>
      <w:numFmt w:val="bullet"/>
      <w:lvlText w:val="o"/>
      <w:lvlJc w:val="left"/>
      <w:pPr>
        <w:ind w:left="3600" w:hanging="360"/>
      </w:pPr>
      <w:rPr>
        <w:rFonts w:ascii="Courier New" w:hAnsi="Courier New" w:cs="Courier New" w:hint="default"/>
      </w:rPr>
    </w:lvl>
    <w:lvl w:ilvl="5" w:tplc="25ACAB52" w:tentative="1">
      <w:start w:val="1"/>
      <w:numFmt w:val="bullet"/>
      <w:lvlText w:val=""/>
      <w:lvlJc w:val="left"/>
      <w:pPr>
        <w:ind w:left="4320" w:hanging="360"/>
      </w:pPr>
      <w:rPr>
        <w:rFonts w:ascii="Wingdings" w:hAnsi="Wingdings" w:hint="default"/>
      </w:rPr>
    </w:lvl>
    <w:lvl w:ilvl="6" w:tplc="1654F97C" w:tentative="1">
      <w:start w:val="1"/>
      <w:numFmt w:val="bullet"/>
      <w:lvlText w:val=""/>
      <w:lvlJc w:val="left"/>
      <w:pPr>
        <w:ind w:left="5040" w:hanging="360"/>
      </w:pPr>
      <w:rPr>
        <w:rFonts w:ascii="Symbol" w:hAnsi="Symbol" w:hint="default"/>
      </w:rPr>
    </w:lvl>
    <w:lvl w:ilvl="7" w:tplc="C008AE7E" w:tentative="1">
      <w:start w:val="1"/>
      <w:numFmt w:val="bullet"/>
      <w:lvlText w:val="o"/>
      <w:lvlJc w:val="left"/>
      <w:pPr>
        <w:ind w:left="5760" w:hanging="360"/>
      </w:pPr>
      <w:rPr>
        <w:rFonts w:ascii="Courier New" w:hAnsi="Courier New" w:cs="Courier New" w:hint="default"/>
      </w:rPr>
    </w:lvl>
    <w:lvl w:ilvl="8" w:tplc="CDCEF7B8"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D68C46EC">
      <w:start w:val="1"/>
      <w:numFmt w:val="bullet"/>
      <w:lvlText w:val=""/>
      <w:lvlJc w:val="left"/>
      <w:pPr>
        <w:tabs>
          <w:tab w:val="num" w:pos="1260"/>
        </w:tabs>
        <w:ind w:left="1260" w:hanging="360"/>
      </w:pPr>
      <w:rPr>
        <w:rFonts w:ascii="Symbol" w:hAnsi="Symbol" w:hint="default"/>
      </w:rPr>
    </w:lvl>
    <w:lvl w:ilvl="1" w:tplc="4FCA4B80">
      <w:start w:val="1"/>
      <w:numFmt w:val="bullet"/>
      <w:lvlText w:val="o"/>
      <w:lvlJc w:val="left"/>
      <w:pPr>
        <w:tabs>
          <w:tab w:val="num" w:pos="1800"/>
        </w:tabs>
        <w:ind w:left="1800" w:hanging="360"/>
      </w:pPr>
      <w:rPr>
        <w:rFonts w:ascii="Courier New" w:hAnsi="Courier New" w:cs="Courier New" w:hint="default"/>
      </w:rPr>
    </w:lvl>
    <w:lvl w:ilvl="2" w:tplc="EEB06842">
      <w:start w:val="1"/>
      <w:numFmt w:val="bullet"/>
      <w:lvlText w:val=""/>
      <w:lvlJc w:val="left"/>
      <w:pPr>
        <w:tabs>
          <w:tab w:val="num" w:pos="2520"/>
        </w:tabs>
        <w:ind w:left="2520" w:hanging="360"/>
      </w:pPr>
      <w:rPr>
        <w:rFonts w:ascii="Wingdings" w:hAnsi="Wingdings" w:hint="default"/>
      </w:rPr>
    </w:lvl>
    <w:lvl w:ilvl="3" w:tplc="1B68EB64" w:tentative="1">
      <w:start w:val="1"/>
      <w:numFmt w:val="bullet"/>
      <w:lvlText w:val=""/>
      <w:lvlJc w:val="left"/>
      <w:pPr>
        <w:tabs>
          <w:tab w:val="num" w:pos="3240"/>
        </w:tabs>
        <w:ind w:left="3240" w:hanging="360"/>
      </w:pPr>
      <w:rPr>
        <w:rFonts w:ascii="Symbol" w:hAnsi="Symbol" w:hint="default"/>
      </w:rPr>
    </w:lvl>
    <w:lvl w:ilvl="4" w:tplc="DA28EA94" w:tentative="1">
      <w:start w:val="1"/>
      <w:numFmt w:val="bullet"/>
      <w:lvlText w:val="o"/>
      <w:lvlJc w:val="left"/>
      <w:pPr>
        <w:tabs>
          <w:tab w:val="num" w:pos="3960"/>
        </w:tabs>
        <w:ind w:left="3960" w:hanging="360"/>
      </w:pPr>
      <w:rPr>
        <w:rFonts w:ascii="Courier New" w:hAnsi="Courier New" w:cs="Courier New" w:hint="default"/>
      </w:rPr>
    </w:lvl>
    <w:lvl w:ilvl="5" w:tplc="E0F4875A" w:tentative="1">
      <w:start w:val="1"/>
      <w:numFmt w:val="bullet"/>
      <w:lvlText w:val=""/>
      <w:lvlJc w:val="left"/>
      <w:pPr>
        <w:tabs>
          <w:tab w:val="num" w:pos="4680"/>
        </w:tabs>
        <w:ind w:left="4680" w:hanging="360"/>
      </w:pPr>
      <w:rPr>
        <w:rFonts w:ascii="Wingdings" w:hAnsi="Wingdings" w:hint="default"/>
      </w:rPr>
    </w:lvl>
    <w:lvl w:ilvl="6" w:tplc="EE6670CC" w:tentative="1">
      <w:start w:val="1"/>
      <w:numFmt w:val="bullet"/>
      <w:lvlText w:val=""/>
      <w:lvlJc w:val="left"/>
      <w:pPr>
        <w:tabs>
          <w:tab w:val="num" w:pos="5400"/>
        </w:tabs>
        <w:ind w:left="5400" w:hanging="360"/>
      </w:pPr>
      <w:rPr>
        <w:rFonts w:ascii="Symbol" w:hAnsi="Symbol" w:hint="default"/>
      </w:rPr>
    </w:lvl>
    <w:lvl w:ilvl="7" w:tplc="AB320BF6" w:tentative="1">
      <w:start w:val="1"/>
      <w:numFmt w:val="bullet"/>
      <w:lvlText w:val="o"/>
      <w:lvlJc w:val="left"/>
      <w:pPr>
        <w:tabs>
          <w:tab w:val="num" w:pos="6120"/>
        </w:tabs>
        <w:ind w:left="6120" w:hanging="360"/>
      </w:pPr>
      <w:rPr>
        <w:rFonts w:ascii="Courier New" w:hAnsi="Courier New" w:cs="Courier New" w:hint="default"/>
      </w:rPr>
    </w:lvl>
    <w:lvl w:ilvl="8" w:tplc="3836E636"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ED3CBD56">
      <w:start w:val="1"/>
      <w:numFmt w:val="bullet"/>
      <w:lvlText w:val=""/>
      <w:lvlJc w:val="left"/>
      <w:pPr>
        <w:tabs>
          <w:tab w:val="num" w:pos="1440"/>
        </w:tabs>
        <w:ind w:left="1440" w:hanging="360"/>
      </w:pPr>
      <w:rPr>
        <w:rFonts w:ascii="Symbol" w:hAnsi="Symbol" w:hint="default"/>
      </w:rPr>
    </w:lvl>
    <w:lvl w:ilvl="1" w:tplc="1690FDA6" w:tentative="1">
      <w:start w:val="1"/>
      <w:numFmt w:val="bullet"/>
      <w:lvlText w:val="o"/>
      <w:lvlJc w:val="left"/>
      <w:pPr>
        <w:tabs>
          <w:tab w:val="num" w:pos="2160"/>
        </w:tabs>
        <w:ind w:left="2160" w:hanging="360"/>
      </w:pPr>
      <w:rPr>
        <w:rFonts w:ascii="Courier New" w:hAnsi="Courier New" w:cs="Courier New" w:hint="default"/>
      </w:rPr>
    </w:lvl>
    <w:lvl w:ilvl="2" w:tplc="5A5E5EE0" w:tentative="1">
      <w:start w:val="1"/>
      <w:numFmt w:val="bullet"/>
      <w:lvlText w:val=""/>
      <w:lvlJc w:val="left"/>
      <w:pPr>
        <w:tabs>
          <w:tab w:val="num" w:pos="2880"/>
        </w:tabs>
        <w:ind w:left="2880" w:hanging="360"/>
      </w:pPr>
      <w:rPr>
        <w:rFonts w:ascii="Wingdings" w:hAnsi="Wingdings" w:hint="default"/>
      </w:rPr>
    </w:lvl>
    <w:lvl w:ilvl="3" w:tplc="0E2898B2" w:tentative="1">
      <w:start w:val="1"/>
      <w:numFmt w:val="bullet"/>
      <w:lvlText w:val=""/>
      <w:lvlJc w:val="left"/>
      <w:pPr>
        <w:tabs>
          <w:tab w:val="num" w:pos="3600"/>
        </w:tabs>
        <w:ind w:left="3600" w:hanging="360"/>
      </w:pPr>
      <w:rPr>
        <w:rFonts w:ascii="Symbol" w:hAnsi="Symbol" w:hint="default"/>
      </w:rPr>
    </w:lvl>
    <w:lvl w:ilvl="4" w:tplc="5F4C63BE" w:tentative="1">
      <w:start w:val="1"/>
      <w:numFmt w:val="bullet"/>
      <w:lvlText w:val="o"/>
      <w:lvlJc w:val="left"/>
      <w:pPr>
        <w:tabs>
          <w:tab w:val="num" w:pos="4320"/>
        </w:tabs>
        <w:ind w:left="4320" w:hanging="360"/>
      </w:pPr>
      <w:rPr>
        <w:rFonts w:ascii="Courier New" w:hAnsi="Courier New" w:cs="Courier New" w:hint="default"/>
      </w:rPr>
    </w:lvl>
    <w:lvl w:ilvl="5" w:tplc="02E0A9E6" w:tentative="1">
      <w:start w:val="1"/>
      <w:numFmt w:val="bullet"/>
      <w:lvlText w:val=""/>
      <w:lvlJc w:val="left"/>
      <w:pPr>
        <w:tabs>
          <w:tab w:val="num" w:pos="5040"/>
        </w:tabs>
        <w:ind w:left="5040" w:hanging="360"/>
      </w:pPr>
      <w:rPr>
        <w:rFonts w:ascii="Wingdings" w:hAnsi="Wingdings" w:hint="default"/>
      </w:rPr>
    </w:lvl>
    <w:lvl w:ilvl="6" w:tplc="6422EDA4" w:tentative="1">
      <w:start w:val="1"/>
      <w:numFmt w:val="bullet"/>
      <w:lvlText w:val=""/>
      <w:lvlJc w:val="left"/>
      <w:pPr>
        <w:tabs>
          <w:tab w:val="num" w:pos="5760"/>
        </w:tabs>
        <w:ind w:left="5760" w:hanging="360"/>
      </w:pPr>
      <w:rPr>
        <w:rFonts w:ascii="Symbol" w:hAnsi="Symbol" w:hint="default"/>
      </w:rPr>
    </w:lvl>
    <w:lvl w:ilvl="7" w:tplc="6406B16E" w:tentative="1">
      <w:start w:val="1"/>
      <w:numFmt w:val="bullet"/>
      <w:lvlText w:val="o"/>
      <w:lvlJc w:val="left"/>
      <w:pPr>
        <w:tabs>
          <w:tab w:val="num" w:pos="6480"/>
        </w:tabs>
        <w:ind w:left="6480" w:hanging="360"/>
      </w:pPr>
      <w:rPr>
        <w:rFonts w:ascii="Courier New" w:hAnsi="Courier New" w:cs="Courier New" w:hint="default"/>
      </w:rPr>
    </w:lvl>
    <w:lvl w:ilvl="8" w:tplc="3DE619B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F996A6E2">
      <w:start w:val="1"/>
      <w:numFmt w:val="upperLetter"/>
      <w:lvlText w:val="%1)"/>
      <w:lvlJc w:val="left"/>
      <w:pPr>
        <w:ind w:left="720" w:hanging="360"/>
      </w:pPr>
      <w:rPr>
        <w:rFonts w:hint="default"/>
      </w:rPr>
    </w:lvl>
    <w:lvl w:ilvl="1" w:tplc="B91E265A" w:tentative="1">
      <w:start w:val="1"/>
      <w:numFmt w:val="lowerLetter"/>
      <w:lvlText w:val="%2."/>
      <w:lvlJc w:val="left"/>
      <w:pPr>
        <w:ind w:left="1440" w:hanging="360"/>
      </w:pPr>
    </w:lvl>
    <w:lvl w:ilvl="2" w:tplc="D1E6155E" w:tentative="1">
      <w:start w:val="1"/>
      <w:numFmt w:val="lowerRoman"/>
      <w:lvlText w:val="%3."/>
      <w:lvlJc w:val="right"/>
      <w:pPr>
        <w:ind w:left="2160" w:hanging="180"/>
      </w:pPr>
    </w:lvl>
    <w:lvl w:ilvl="3" w:tplc="171010E8" w:tentative="1">
      <w:start w:val="1"/>
      <w:numFmt w:val="decimal"/>
      <w:lvlText w:val="%4."/>
      <w:lvlJc w:val="left"/>
      <w:pPr>
        <w:ind w:left="2880" w:hanging="360"/>
      </w:pPr>
    </w:lvl>
    <w:lvl w:ilvl="4" w:tplc="F0D476CC" w:tentative="1">
      <w:start w:val="1"/>
      <w:numFmt w:val="lowerLetter"/>
      <w:lvlText w:val="%5."/>
      <w:lvlJc w:val="left"/>
      <w:pPr>
        <w:ind w:left="3600" w:hanging="360"/>
      </w:pPr>
    </w:lvl>
    <w:lvl w:ilvl="5" w:tplc="F5CAEE18" w:tentative="1">
      <w:start w:val="1"/>
      <w:numFmt w:val="lowerRoman"/>
      <w:lvlText w:val="%6."/>
      <w:lvlJc w:val="right"/>
      <w:pPr>
        <w:ind w:left="4320" w:hanging="180"/>
      </w:pPr>
    </w:lvl>
    <w:lvl w:ilvl="6" w:tplc="BD2AA5A8" w:tentative="1">
      <w:start w:val="1"/>
      <w:numFmt w:val="decimal"/>
      <w:lvlText w:val="%7."/>
      <w:lvlJc w:val="left"/>
      <w:pPr>
        <w:ind w:left="5040" w:hanging="360"/>
      </w:pPr>
    </w:lvl>
    <w:lvl w:ilvl="7" w:tplc="CF744C2A" w:tentative="1">
      <w:start w:val="1"/>
      <w:numFmt w:val="lowerLetter"/>
      <w:lvlText w:val="%8."/>
      <w:lvlJc w:val="left"/>
      <w:pPr>
        <w:ind w:left="5760" w:hanging="360"/>
      </w:pPr>
    </w:lvl>
    <w:lvl w:ilvl="8" w:tplc="6A32708A"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BB4E19AE">
      <w:start w:val="1"/>
      <w:numFmt w:val="bullet"/>
      <w:lvlText w:val=""/>
      <w:lvlJc w:val="left"/>
      <w:pPr>
        <w:ind w:left="720" w:hanging="360"/>
      </w:pPr>
      <w:rPr>
        <w:rFonts w:ascii="Symbol" w:hAnsi="Symbol" w:hint="default"/>
      </w:rPr>
    </w:lvl>
    <w:lvl w:ilvl="1" w:tplc="9242972A" w:tentative="1">
      <w:start w:val="1"/>
      <w:numFmt w:val="bullet"/>
      <w:lvlText w:val="o"/>
      <w:lvlJc w:val="left"/>
      <w:pPr>
        <w:ind w:left="1440" w:hanging="360"/>
      </w:pPr>
      <w:rPr>
        <w:rFonts w:ascii="Courier New" w:hAnsi="Courier New" w:cs="Courier New" w:hint="default"/>
      </w:rPr>
    </w:lvl>
    <w:lvl w:ilvl="2" w:tplc="8CC4D21A" w:tentative="1">
      <w:start w:val="1"/>
      <w:numFmt w:val="bullet"/>
      <w:lvlText w:val=""/>
      <w:lvlJc w:val="left"/>
      <w:pPr>
        <w:ind w:left="2160" w:hanging="360"/>
      </w:pPr>
      <w:rPr>
        <w:rFonts w:ascii="Wingdings" w:hAnsi="Wingdings" w:hint="default"/>
      </w:rPr>
    </w:lvl>
    <w:lvl w:ilvl="3" w:tplc="E586041A" w:tentative="1">
      <w:start w:val="1"/>
      <w:numFmt w:val="bullet"/>
      <w:lvlText w:val=""/>
      <w:lvlJc w:val="left"/>
      <w:pPr>
        <w:ind w:left="2880" w:hanging="360"/>
      </w:pPr>
      <w:rPr>
        <w:rFonts w:ascii="Symbol" w:hAnsi="Symbol" w:hint="default"/>
      </w:rPr>
    </w:lvl>
    <w:lvl w:ilvl="4" w:tplc="A4060758" w:tentative="1">
      <w:start w:val="1"/>
      <w:numFmt w:val="bullet"/>
      <w:lvlText w:val="o"/>
      <w:lvlJc w:val="left"/>
      <w:pPr>
        <w:ind w:left="3600" w:hanging="360"/>
      </w:pPr>
      <w:rPr>
        <w:rFonts w:ascii="Courier New" w:hAnsi="Courier New" w:cs="Courier New" w:hint="default"/>
      </w:rPr>
    </w:lvl>
    <w:lvl w:ilvl="5" w:tplc="3006AC7A" w:tentative="1">
      <w:start w:val="1"/>
      <w:numFmt w:val="bullet"/>
      <w:lvlText w:val=""/>
      <w:lvlJc w:val="left"/>
      <w:pPr>
        <w:ind w:left="4320" w:hanging="360"/>
      </w:pPr>
      <w:rPr>
        <w:rFonts w:ascii="Wingdings" w:hAnsi="Wingdings" w:hint="default"/>
      </w:rPr>
    </w:lvl>
    <w:lvl w:ilvl="6" w:tplc="55F65296" w:tentative="1">
      <w:start w:val="1"/>
      <w:numFmt w:val="bullet"/>
      <w:lvlText w:val=""/>
      <w:lvlJc w:val="left"/>
      <w:pPr>
        <w:ind w:left="5040" w:hanging="360"/>
      </w:pPr>
      <w:rPr>
        <w:rFonts w:ascii="Symbol" w:hAnsi="Symbol" w:hint="default"/>
      </w:rPr>
    </w:lvl>
    <w:lvl w:ilvl="7" w:tplc="D18C5E7E" w:tentative="1">
      <w:start w:val="1"/>
      <w:numFmt w:val="bullet"/>
      <w:lvlText w:val="o"/>
      <w:lvlJc w:val="left"/>
      <w:pPr>
        <w:ind w:left="5760" w:hanging="360"/>
      </w:pPr>
      <w:rPr>
        <w:rFonts w:ascii="Courier New" w:hAnsi="Courier New" w:cs="Courier New" w:hint="default"/>
      </w:rPr>
    </w:lvl>
    <w:lvl w:ilvl="8" w:tplc="7436A50E"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91E20AE4">
      <w:start w:val="1"/>
      <w:numFmt w:val="bullet"/>
      <w:lvlText w:val=""/>
      <w:lvlJc w:val="left"/>
      <w:pPr>
        <w:ind w:left="1440" w:hanging="360"/>
      </w:pPr>
      <w:rPr>
        <w:rFonts w:ascii="Symbol" w:hAnsi="Symbol" w:hint="default"/>
      </w:rPr>
    </w:lvl>
    <w:lvl w:ilvl="1" w:tplc="3C423B42">
      <w:start w:val="1"/>
      <w:numFmt w:val="bullet"/>
      <w:lvlText w:val="o"/>
      <w:lvlJc w:val="left"/>
      <w:pPr>
        <w:ind w:left="2160" w:hanging="360"/>
      </w:pPr>
      <w:rPr>
        <w:rFonts w:ascii="Courier New" w:hAnsi="Courier New" w:cs="Courier New" w:hint="default"/>
      </w:rPr>
    </w:lvl>
    <w:lvl w:ilvl="2" w:tplc="C9BE3ADA">
      <w:start w:val="1"/>
      <w:numFmt w:val="bullet"/>
      <w:lvlText w:val=""/>
      <w:lvlJc w:val="left"/>
      <w:pPr>
        <w:ind w:left="2880" w:hanging="360"/>
      </w:pPr>
      <w:rPr>
        <w:rFonts w:ascii="Wingdings" w:hAnsi="Wingdings" w:hint="default"/>
      </w:rPr>
    </w:lvl>
    <w:lvl w:ilvl="3" w:tplc="2E48D2C4">
      <w:start w:val="1"/>
      <w:numFmt w:val="bullet"/>
      <w:lvlText w:val=""/>
      <w:lvlJc w:val="left"/>
      <w:pPr>
        <w:ind w:left="3600" w:hanging="360"/>
      </w:pPr>
      <w:rPr>
        <w:rFonts w:ascii="Symbol" w:hAnsi="Symbol" w:hint="default"/>
      </w:rPr>
    </w:lvl>
    <w:lvl w:ilvl="4" w:tplc="623E71BA">
      <w:start w:val="1"/>
      <w:numFmt w:val="bullet"/>
      <w:lvlText w:val="o"/>
      <w:lvlJc w:val="left"/>
      <w:pPr>
        <w:ind w:left="4320" w:hanging="360"/>
      </w:pPr>
      <w:rPr>
        <w:rFonts w:ascii="Courier New" w:hAnsi="Courier New" w:cs="Courier New" w:hint="default"/>
      </w:rPr>
    </w:lvl>
    <w:lvl w:ilvl="5" w:tplc="5A0E30C4">
      <w:start w:val="1"/>
      <w:numFmt w:val="bullet"/>
      <w:lvlText w:val=""/>
      <w:lvlJc w:val="left"/>
      <w:pPr>
        <w:ind w:left="5040" w:hanging="360"/>
      </w:pPr>
      <w:rPr>
        <w:rFonts w:ascii="Wingdings" w:hAnsi="Wingdings" w:hint="default"/>
      </w:rPr>
    </w:lvl>
    <w:lvl w:ilvl="6" w:tplc="28BACDF6">
      <w:start w:val="1"/>
      <w:numFmt w:val="bullet"/>
      <w:lvlText w:val=""/>
      <w:lvlJc w:val="left"/>
      <w:pPr>
        <w:ind w:left="5760" w:hanging="360"/>
      </w:pPr>
      <w:rPr>
        <w:rFonts w:ascii="Symbol" w:hAnsi="Symbol" w:hint="default"/>
      </w:rPr>
    </w:lvl>
    <w:lvl w:ilvl="7" w:tplc="E1E81296">
      <w:start w:val="1"/>
      <w:numFmt w:val="bullet"/>
      <w:lvlText w:val="o"/>
      <w:lvlJc w:val="left"/>
      <w:pPr>
        <w:ind w:left="6480" w:hanging="360"/>
      </w:pPr>
      <w:rPr>
        <w:rFonts w:ascii="Courier New" w:hAnsi="Courier New" w:cs="Courier New" w:hint="default"/>
      </w:rPr>
    </w:lvl>
    <w:lvl w:ilvl="8" w:tplc="4074187A">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CF6A9E2A">
      <w:start w:val="1"/>
      <w:numFmt w:val="upperLetter"/>
      <w:lvlText w:val="%1)"/>
      <w:lvlJc w:val="left"/>
      <w:pPr>
        <w:ind w:left="720" w:hanging="360"/>
      </w:pPr>
      <w:rPr>
        <w:rFonts w:hint="default"/>
      </w:rPr>
    </w:lvl>
    <w:lvl w:ilvl="1" w:tplc="589489C6" w:tentative="1">
      <w:start w:val="1"/>
      <w:numFmt w:val="lowerLetter"/>
      <w:lvlText w:val="%2."/>
      <w:lvlJc w:val="left"/>
      <w:pPr>
        <w:ind w:left="1440" w:hanging="360"/>
      </w:pPr>
    </w:lvl>
    <w:lvl w:ilvl="2" w:tplc="DD3015E2" w:tentative="1">
      <w:start w:val="1"/>
      <w:numFmt w:val="lowerRoman"/>
      <w:lvlText w:val="%3."/>
      <w:lvlJc w:val="right"/>
      <w:pPr>
        <w:ind w:left="2160" w:hanging="180"/>
      </w:pPr>
    </w:lvl>
    <w:lvl w:ilvl="3" w:tplc="ED78B322" w:tentative="1">
      <w:start w:val="1"/>
      <w:numFmt w:val="decimal"/>
      <w:lvlText w:val="%4."/>
      <w:lvlJc w:val="left"/>
      <w:pPr>
        <w:ind w:left="2880" w:hanging="360"/>
      </w:pPr>
    </w:lvl>
    <w:lvl w:ilvl="4" w:tplc="AD4CF1D0" w:tentative="1">
      <w:start w:val="1"/>
      <w:numFmt w:val="lowerLetter"/>
      <w:lvlText w:val="%5."/>
      <w:lvlJc w:val="left"/>
      <w:pPr>
        <w:ind w:left="3600" w:hanging="360"/>
      </w:pPr>
    </w:lvl>
    <w:lvl w:ilvl="5" w:tplc="6E2E6926" w:tentative="1">
      <w:start w:val="1"/>
      <w:numFmt w:val="lowerRoman"/>
      <w:lvlText w:val="%6."/>
      <w:lvlJc w:val="right"/>
      <w:pPr>
        <w:ind w:left="4320" w:hanging="180"/>
      </w:pPr>
    </w:lvl>
    <w:lvl w:ilvl="6" w:tplc="411AFA7C" w:tentative="1">
      <w:start w:val="1"/>
      <w:numFmt w:val="decimal"/>
      <w:lvlText w:val="%7."/>
      <w:lvlJc w:val="left"/>
      <w:pPr>
        <w:ind w:left="5040" w:hanging="360"/>
      </w:pPr>
    </w:lvl>
    <w:lvl w:ilvl="7" w:tplc="1A2EAB7A" w:tentative="1">
      <w:start w:val="1"/>
      <w:numFmt w:val="lowerLetter"/>
      <w:lvlText w:val="%8."/>
      <w:lvlJc w:val="left"/>
      <w:pPr>
        <w:ind w:left="5760" w:hanging="360"/>
      </w:pPr>
    </w:lvl>
    <w:lvl w:ilvl="8" w:tplc="D49E4E42"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F07C4F36">
      <w:start w:val="1"/>
      <w:numFmt w:val="bullet"/>
      <w:lvlText w:val=""/>
      <w:lvlJc w:val="left"/>
      <w:pPr>
        <w:ind w:left="720" w:hanging="360"/>
      </w:pPr>
      <w:rPr>
        <w:rFonts w:ascii="Symbol" w:hAnsi="Symbol" w:hint="default"/>
      </w:rPr>
    </w:lvl>
    <w:lvl w:ilvl="1" w:tplc="4D50605E" w:tentative="1">
      <w:start w:val="1"/>
      <w:numFmt w:val="bullet"/>
      <w:lvlText w:val="o"/>
      <w:lvlJc w:val="left"/>
      <w:pPr>
        <w:ind w:left="1440" w:hanging="360"/>
      </w:pPr>
      <w:rPr>
        <w:rFonts w:ascii="Courier New" w:hAnsi="Courier New" w:cs="Courier New" w:hint="default"/>
      </w:rPr>
    </w:lvl>
    <w:lvl w:ilvl="2" w:tplc="681EB9A0" w:tentative="1">
      <w:start w:val="1"/>
      <w:numFmt w:val="bullet"/>
      <w:lvlText w:val=""/>
      <w:lvlJc w:val="left"/>
      <w:pPr>
        <w:ind w:left="2160" w:hanging="360"/>
      </w:pPr>
      <w:rPr>
        <w:rFonts w:ascii="Wingdings" w:hAnsi="Wingdings" w:hint="default"/>
      </w:rPr>
    </w:lvl>
    <w:lvl w:ilvl="3" w:tplc="E766D0A2" w:tentative="1">
      <w:start w:val="1"/>
      <w:numFmt w:val="bullet"/>
      <w:lvlText w:val=""/>
      <w:lvlJc w:val="left"/>
      <w:pPr>
        <w:ind w:left="2880" w:hanging="360"/>
      </w:pPr>
      <w:rPr>
        <w:rFonts w:ascii="Symbol" w:hAnsi="Symbol" w:hint="default"/>
      </w:rPr>
    </w:lvl>
    <w:lvl w:ilvl="4" w:tplc="6EA88BC2" w:tentative="1">
      <w:start w:val="1"/>
      <w:numFmt w:val="bullet"/>
      <w:lvlText w:val="o"/>
      <w:lvlJc w:val="left"/>
      <w:pPr>
        <w:ind w:left="3600" w:hanging="360"/>
      </w:pPr>
      <w:rPr>
        <w:rFonts w:ascii="Courier New" w:hAnsi="Courier New" w:cs="Courier New" w:hint="default"/>
      </w:rPr>
    </w:lvl>
    <w:lvl w:ilvl="5" w:tplc="21D67EFA" w:tentative="1">
      <w:start w:val="1"/>
      <w:numFmt w:val="bullet"/>
      <w:lvlText w:val=""/>
      <w:lvlJc w:val="left"/>
      <w:pPr>
        <w:ind w:left="4320" w:hanging="360"/>
      </w:pPr>
      <w:rPr>
        <w:rFonts w:ascii="Wingdings" w:hAnsi="Wingdings" w:hint="default"/>
      </w:rPr>
    </w:lvl>
    <w:lvl w:ilvl="6" w:tplc="A358D7F0" w:tentative="1">
      <w:start w:val="1"/>
      <w:numFmt w:val="bullet"/>
      <w:lvlText w:val=""/>
      <w:lvlJc w:val="left"/>
      <w:pPr>
        <w:ind w:left="5040" w:hanging="360"/>
      </w:pPr>
      <w:rPr>
        <w:rFonts w:ascii="Symbol" w:hAnsi="Symbol" w:hint="default"/>
      </w:rPr>
    </w:lvl>
    <w:lvl w:ilvl="7" w:tplc="9A567FC0" w:tentative="1">
      <w:start w:val="1"/>
      <w:numFmt w:val="bullet"/>
      <w:lvlText w:val="o"/>
      <w:lvlJc w:val="left"/>
      <w:pPr>
        <w:ind w:left="5760" w:hanging="360"/>
      </w:pPr>
      <w:rPr>
        <w:rFonts w:ascii="Courier New" w:hAnsi="Courier New" w:cs="Courier New" w:hint="default"/>
      </w:rPr>
    </w:lvl>
    <w:lvl w:ilvl="8" w:tplc="5F6C14D6"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D27EE502">
      <w:start w:val="1"/>
      <w:numFmt w:val="bullet"/>
      <w:lvlText w:val=""/>
      <w:lvlJc w:val="left"/>
      <w:pPr>
        <w:ind w:left="1080" w:hanging="360"/>
      </w:pPr>
      <w:rPr>
        <w:rFonts w:ascii="Symbol" w:hAnsi="Symbol" w:hint="default"/>
      </w:rPr>
    </w:lvl>
    <w:lvl w:ilvl="1" w:tplc="1AA0EC8E" w:tentative="1">
      <w:start w:val="1"/>
      <w:numFmt w:val="bullet"/>
      <w:lvlText w:val="o"/>
      <w:lvlJc w:val="left"/>
      <w:pPr>
        <w:ind w:left="1800" w:hanging="360"/>
      </w:pPr>
      <w:rPr>
        <w:rFonts w:ascii="Courier New" w:hAnsi="Courier New" w:cs="Courier New" w:hint="default"/>
      </w:rPr>
    </w:lvl>
    <w:lvl w:ilvl="2" w:tplc="A69E8182" w:tentative="1">
      <w:start w:val="1"/>
      <w:numFmt w:val="bullet"/>
      <w:lvlText w:val=""/>
      <w:lvlJc w:val="left"/>
      <w:pPr>
        <w:ind w:left="2520" w:hanging="360"/>
      </w:pPr>
      <w:rPr>
        <w:rFonts w:ascii="Wingdings" w:hAnsi="Wingdings" w:hint="default"/>
      </w:rPr>
    </w:lvl>
    <w:lvl w:ilvl="3" w:tplc="D248CA12" w:tentative="1">
      <w:start w:val="1"/>
      <w:numFmt w:val="bullet"/>
      <w:lvlText w:val=""/>
      <w:lvlJc w:val="left"/>
      <w:pPr>
        <w:ind w:left="3240" w:hanging="360"/>
      </w:pPr>
      <w:rPr>
        <w:rFonts w:ascii="Symbol" w:hAnsi="Symbol" w:hint="default"/>
      </w:rPr>
    </w:lvl>
    <w:lvl w:ilvl="4" w:tplc="A3441774" w:tentative="1">
      <w:start w:val="1"/>
      <w:numFmt w:val="bullet"/>
      <w:lvlText w:val="o"/>
      <w:lvlJc w:val="left"/>
      <w:pPr>
        <w:ind w:left="3960" w:hanging="360"/>
      </w:pPr>
      <w:rPr>
        <w:rFonts w:ascii="Courier New" w:hAnsi="Courier New" w:cs="Courier New" w:hint="default"/>
      </w:rPr>
    </w:lvl>
    <w:lvl w:ilvl="5" w:tplc="4498C914" w:tentative="1">
      <w:start w:val="1"/>
      <w:numFmt w:val="bullet"/>
      <w:lvlText w:val=""/>
      <w:lvlJc w:val="left"/>
      <w:pPr>
        <w:ind w:left="4680" w:hanging="360"/>
      </w:pPr>
      <w:rPr>
        <w:rFonts w:ascii="Wingdings" w:hAnsi="Wingdings" w:hint="default"/>
      </w:rPr>
    </w:lvl>
    <w:lvl w:ilvl="6" w:tplc="807EE728" w:tentative="1">
      <w:start w:val="1"/>
      <w:numFmt w:val="bullet"/>
      <w:lvlText w:val=""/>
      <w:lvlJc w:val="left"/>
      <w:pPr>
        <w:ind w:left="5400" w:hanging="360"/>
      </w:pPr>
      <w:rPr>
        <w:rFonts w:ascii="Symbol" w:hAnsi="Symbol" w:hint="default"/>
      </w:rPr>
    </w:lvl>
    <w:lvl w:ilvl="7" w:tplc="9FC6E4AE" w:tentative="1">
      <w:start w:val="1"/>
      <w:numFmt w:val="bullet"/>
      <w:lvlText w:val="o"/>
      <w:lvlJc w:val="left"/>
      <w:pPr>
        <w:ind w:left="6120" w:hanging="360"/>
      </w:pPr>
      <w:rPr>
        <w:rFonts w:ascii="Courier New" w:hAnsi="Courier New" w:cs="Courier New" w:hint="default"/>
      </w:rPr>
    </w:lvl>
    <w:lvl w:ilvl="8" w:tplc="92CAE828"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2764ABD6">
      <w:start w:val="1"/>
      <w:numFmt w:val="upperLetter"/>
      <w:lvlText w:val="%1)"/>
      <w:lvlJc w:val="left"/>
      <w:pPr>
        <w:ind w:left="720" w:hanging="360"/>
      </w:pPr>
      <w:rPr>
        <w:rFonts w:hint="default"/>
      </w:rPr>
    </w:lvl>
    <w:lvl w:ilvl="1" w:tplc="CA3E3BD4" w:tentative="1">
      <w:start w:val="1"/>
      <w:numFmt w:val="lowerLetter"/>
      <w:lvlText w:val="%2."/>
      <w:lvlJc w:val="left"/>
      <w:pPr>
        <w:ind w:left="1440" w:hanging="360"/>
      </w:pPr>
    </w:lvl>
    <w:lvl w:ilvl="2" w:tplc="A502E6C8" w:tentative="1">
      <w:start w:val="1"/>
      <w:numFmt w:val="lowerRoman"/>
      <w:lvlText w:val="%3."/>
      <w:lvlJc w:val="right"/>
      <w:pPr>
        <w:ind w:left="2160" w:hanging="180"/>
      </w:pPr>
    </w:lvl>
    <w:lvl w:ilvl="3" w:tplc="1AAC9B16" w:tentative="1">
      <w:start w:val="1"/>
      <w:numFmt w:val="decimal"/>
      <w:lvlText w:val="%4."/>
      <w:lvlJc w:val="left"/>
      <w:pPr>
        <w:ind w:left="2880" w:hanging="360"/>
      </w:pPr>
    </w:lvl>
    <w:lvl w:ilvl="4" w:tplc="17DA75F8" w:tentative="1">
      <w:start w:val="1"/>
      <w:numFmt w:val="lowerLetter"/>
      <w:lvlText w:val="%5."/>
      <w:lvlJc w:val="left"/>
      <w:pPr>
        <w:ind w:left="3600" w:hanging="360"/>
      </w:pPr>
    </w:lvl>
    <w:lvl w:ilvl="5" w:tplc="0F4A0EE2" w:tentative="1">
      <w:start w:val="1"/>
      <w:numFmt w:val="lowerRoman"/>
      <w:lvlText w:val="%6."/>
      <w:lvlJc w:val="right"/>
      <w:pPr>
        <w:ind w:left="4320" w:hanging="180"/>
      </w:pPr>
    </w:lvl>
    <w:lvl w:ilvl="6" w:tplc="6AB05822" w:tentative="1">
      <w:start w:val="1"/>
      <w:numFmt w:val="decimal"/>
      <w:lvlText w:val="%7."/>
      <w:lvlJc w:val="left"/>
      <w:pPr>
        <w:ind w:left="5040" w:hanging="360"/>
      </w:pPr>
    </w:lvl>
    <w:lvl w:ilvl="7" w:tplc="8DD828F6" w:tentative="1">
      <w:start w:val="1"/>
      <w:numFmt w:val="lowerLetter"/>
      <w:lvlText w:val="%8."/>
      <w:lvlJc w:val="left"/>
      <w:pPr>
        <w:ind w:left="5760" w:hanging="360"/>
      </w:pPr>
    </w:lvl>
    <w:lvl w:ilvl="8" w:tplc="B1769F46"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14F2D704">
      <w:start w:val="1"/>
      <w:numFmt w:val="upperLetter"/>
      <w:lvlText w:val="%1)"/>
      <w:lvlJc w:val="left"/>
      <w:pPr>
        <w:ind w:left="720" w:hanging="360"/>
      </w:pPr>
      <w:rPr>
        <w:rFonts w:hint="default"/>
        <w:color w:val="000000"/>
      </w:rPr>
    </w:lvl>
    <w:lvl w:ilvl="1" w:tplc="35CA11AA" w:tentative="1">
      <w:start w:val="1"/>
      <w:numFmt w:val="lowerLetter"/>
      <w:lvlText w:val="%2."/>
      <w:lvlJc w:val="left"/>
      <w:pPr>
        <w:ind w:left="1440" w:hanging="360"/>
      </w:pPr>
    </w:lvl>
    <w:lvl w:ilvl="2" w:tplc="1EFE5A44" w:tentative="1">
      <w:start w:val="1"/>
      <w:numFmt w:val="lowerRoman"/>
      <w:lvlText w:val="%3."/>
      <w:lvlJc w:val="right"/>
      <w:pPr>
        <w:ind w:left="2160" w:hanging="180"/>
      </w:pPr>
    </w:lvl>
    <w:lvl w:ilvl="3" w:tplc="4B10135C" w:tentative="1">
      <w:start w:val="1"/>
      <w:numFmt w:val="decimal"/>
      <w:lvlText w:val="%4."/>
      <w:lvlJc w:val="left"/>
      <w:pPr>
        <w:ind w:left="2880" w:hanging="360"/>
      </w:pPr>
    </w:lvl>
    <w:lvl w:ilvl="4" w:tplc="0476626C" w:tentative="1">
      <w:start w:val="1"/>
      <w:numFmt w:val="lowerLetter"/>
      <w:lvlText w:val="%5."/>
      <w:lvlJc w:val="left"/>
      <w:pPr>
        <w:ind w:left="3600" w:hanging="360"/>
      </w:pPr>
    </w:lvl>
    <w:lvl w:ilvl="5" w:tplc="268C2758" w:tentative="1">
      <w:start w:val="1"/>
      <w:numFmt w:val="lowerRoman"/>
      <w:lvlText w:val="%6."/>
      <w:lvlJc w:val="right"/>
      <w:pPr>
        <w:ind w:left="4320" w:hanging="180"/>
      </w:pPr>
    </w:lvl>
    <w:lvl w:ilvl="6" w:tplc="D604DB92" w:tentative="1">
      <w:start w:val="1"/>
      <w:numFmt w:val="decimal"/>
      <w:lvlText w:val="%7."/>
      <w:lvlJc w:val="left"/>
      <w:pPr>
        <w:ind w:left="5040" w:hanging="360"/>
      </w:pPr>
    </w:lvl>
    <w:lvl w:ilvl="7" w:tplc="287EB44C" w:tentative="1">
      <w:start w:val="1"/>
      <w:numFmt w:val="lowerLetter"/>
      <w:lvlText w:val="%8."/>
      <w:lvlJc w:val="left"/>
      <w:pPr>
        <w:ind w:left="5760" w:hanging="360"/>
      </w:pPr>
    </w:lvl>
    <w:lvl w:ilvl="8" w:tplc="6AC81CBC"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F342DF2A">
      <w:start w:val="1"/>
      <w:numFmt w:val="lowerLetter"/>
      <w:lvlText w:val="%1."/>
      <w:lvlJc w:val="left"/>
      <w:pPr>
        <w:ind w:left="1080" w:hanging="360"/>
      </w:pPr>
      <w:rPr>
        <w:b/>
        <w:bCs/>
      </w:rPr>
    </w:lvl>
    <w:lvl w:ilvl="1" w:tplc="0D4A3B42" w:tentative="1">
      <w:start w:val="1"/>
      <w:numFmt w:val="lowerLetter"/>
      <w:lvlText w:val="%2."/>
      <w:lvlJc w:val="left"/>
      <w:pPr>
        <w:ind w:left="1800" w:hanging="360"/>
      </w:pPr>
    </w:lvl>
    <w:lvl w:ilvl="2" w:tplc="A75C1396" w:tentative="1">
      <w:start w:val="1"/>
      <w:numFmt w:val="lowerRoman"/>
      <w:lvlText w:val="%3."/>
      <w:lvlJc w:val="right"/>
      <w:pPr>
        <w:ind w:left="2520" w:hanging="180"/>
      </w:pPr>
    </w:lvl>
    <w:lvl w:ilvl="3" w:tplc="DDE6711C" w:tentative="1">
      <w:start w:val="1"/>
      <w:numFmt w:val="decimal"/>
      <w:lvlText w:val="%4."/>
      <w:lvlJc w:val="left"/>
      <w:pPr>
        <w:ind w:left="3240" w:hanging="360"/>
      </w:pPr>
    </w:lvl>
    <w:lvl w:ilvl="4" w:tplc="C2165322" w:tentative="1">
      <w:start w:val="1"/>
      <w:numFmt w:val="lowerLetter"/>
      <w:lvlText w:val="%5."/>
      <w:lvlJc w:val="left"/>
      <w:pPr>
        <w:ind w:left="3960" w:hanging="360"/>
      </w:pPr>
    </w:lvl>
    <w:lvl w:ilvl="5" w:tplc="A8C4D858" w:tentative="1">
      <w:start w:val="1"/>
      <w:numFmt w:val="lowerRoman"/>
      <w:lvlText w:val="%6."/>
      <w:lvlJc w:val="right"/>
      <w:pPr>
        <w:ind w:left="4680" w:hanging="180"/>
      </w:pPr>
    </w:lvl>
    <w:lvl w:ilvl="6" w:tplc="604A6398" w:tentative="1">
      <w:start w:val="1"/>
      <w:numFmt w:val="decimal"/>
      <w:lvlText w:val="%7."/>
      <w:lvlJc w:val="left"/>
      <w:pPr>
        <w:ind w:left="5400" w:hanging="360"/>
      </w:pPr>
    </w:lvl>
    <w:lvl w:ilvl="7" w:tplc="40A0CB70" w:tentative="1">
      <w:start w:val="1"/>
      <w:numFmt w:val="lowerLetter"/>
      <w:lvlText w:val="%8."/>
      <w:lvlJc w:val="left"/>
      <w:pPr>
        <w:ind w:left="6120" w:hanging="360"/>
      </w:pPr>
    </w:lvl>
    <w:lvl w:ilvl="8" w:tplc="28665184" w:tentative="1">
      <w:start w:val="1"/>
      <w:numFmt w:val="lowerRoman"/>
      <w:lvlText w:val="%9."/>
      <w:lvlJc w:val="right"/>
      <w:pPr>
        <w:ind w:left="6840" w:hanging="180"/>
      </w:pPr>
    </w:lvl>
  </w:abstractNum>
  <w:num w:numId="1" w16cid:durableId="1264991593">
    <w:abstractNumId w:val="1"/>
  </w:num>
  <w:num w:numId="2" w16cid:durableId="1579945224">
    <w:abstractNumId w:val="2"/>
  </w:num>
  <w:num w:numId="3" w16cid:durableId="1118645037">
    <w:abstractNumId w:val="25"/>
  </w:num>
  <w:num w:numId="4" w16cid:durableId="492376005">
    <w:abstractNumId w:val="21"/>
  </w:num>
  <w:num w:numId="5" w16cid:durableId="1183739281">
    <w:abstractNumId w:val="6"/>
  </w:num>
  <w:num w:numId="6" w16cid:durableId="2070154801">
    <w:abstractNumId w:val="26"/>
  </w:num>
  <w:num w:numId="7" w16cid:durableId="1262377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14359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8430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49979">
    <w:abstractNumId w:val="29"/>
  </w:num>
  <w:num w:numId="11" w16cid:durableId="585959271">
    <w:abstractNumId w:val="31"/>
  </w:num>
  <w:num w:numId="12" w16cid:durableId="1331516884">
    <w:abstractNumId w:val="24"/>
  </w:num>
  <w:num w:numId="13" w16cid:durableId="643775679">
    <w:abstractNumId w:val="28"/>
  </w:num>
  <w:num w:numId="14" w16cid:durableId="245463272">
    <w:abstractNumId w:val="3"/>
  </w:num>
  <w:num w:numId="15" w16cid:durableId="803693691">
    <w:abstractNumId w:val="12"/>
  </w:num>
  <w:num w:numId="16" w16cid:durableId="6907096">
    <w:abstractNumId w:val="13"/>
  </w:num>
  <w:num w:numId="17" w16cid:durableId="1761608734">
    <w:abstractNumId w:val="8"/>
  </w:num>
  <w:num w:numId="18" w16cid:durableId="915625280">
    <w:abstractNumId w:val="30"/>
  </w:num>
  <w:num w:numId="19" w16cid:durableId="354964515">
    <w:abstractNumId w:val="16"/>
  </w:num>
  <w:num w:numId="20" w16cid:durableId="1812821771">
    <w:abstractNumId w:val="34"/>
  </w:num>
  <w:num w:numId="21" w16cid:durableId="321545295">
    <w:abstractNumId w:val="19"/>
  </w:num>
  <w:num w:numId="22" w16cid:durableId="405415311">
    <w:abstractNumId w:val="27"/>
  </w:num>
  <w:num w:numId="23" w16cid:durableId="1281717327">
    <w:abstractNumId w:val="22"/>
  </w:num>
  <w:num w:numId="24" w16cid:durableId="1711606336">
    <w:abstractNumId w:val="33"/>
  </w:num>
  <w:num w:numId="25" w16cid:durableId="1361474106">
    <w:abstractNumId w:val="9"/>
  </w:num>
  <w:num w:numId="26" w16cid:durableId="1442336143">
    <w:abstractNumId w:val="14"/>
  </w:num>
  <w:num w:numId="27" w16cid:durableId="1214925340">
    <w:abstractNumId w:val="5"/>
  </w:num>
  <w:num w:numId="28" w16cid:durableId="1874271348">
    <w:abstractNumId w:val="18"/>
  </w:num>
  <w:num w:numId="29" w16cid:durableId="1045565033">
    <w:abstractNumId w:val="0"/>
  </w:num>
  <w:num w:numId="30" w16cid:durableId="1044865035">
    <w:abstractNumId w:val="35"/>
  </w:num>
  <w:num w:numId="31" w16cid:durableId="645234683">
    <w:abstractNumId w:val="32"/>
  </w:num>
  <w:num w:numId="32" w16cid:durableId="1804998694">
    <w:abstractNumId w:val="11"/>
  </w:num>
  <w:num w:numId="33" w16cid:durableId="600575439">
    <w:abstractNumId w:val="17"/>
  </w:num>
  <w:num w:numId="34" w16cid:durableId="15428614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9650655">
    <w:abstractNumId w:val="10"/>
  </w:num>
  <w:num w:numId="36" w16cid:durableId="318995456">
    <w:abstractNumId w:val="20"/>
  </w:num>
  <w:num w:numId="37" w16cid:durableId="1085146670">
    <w:abstractNumId w:val="15"/>
  </w:num>
  <w:num w:numId="38" w16cid:durableId="12755553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PEyLU5XmHvreBXlyeSD9Gx4qslq/4eznCKfHkMZzZiLNKc8pLMLREK8E3u1u1Zv+H916knH83ENAQP5WbL4Uw==" w:salt="39ELvmBlSwwLLalTws43oA=="/>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36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6BD8"/>
    <w:rsid w:val="0020005C"/>
    <w:rsid w:val="00202B0D"/>
    <w:rsid w:val="00205DE6"/>
    <w:rsid w:val="00206E89"/>
    <w:rsid w:val="00210D6C"/>
    <w:rsid w:val="0021325F"/>
    <w:rsid w:val="002206A9"/>
    <w:rsid w:val="00221766"/>
    <w:rsid w:val="00221A7A"/>
    <w:rsid w:val="00221C0C"/>
    <w:rsid w:val="00222770"/>
    <w:rsid w:val="00226526"/>
    <w:rsid w:val="00226D1A"/>
    <w:rsid w:val="00226DFB"/>
    <w:rsid w:val="002308D6"/>
    <w:rsid w:val="00231C97"/>
    <w:rsid w:val="00240460"/>
    <w:rsid w:val="00240D46"/>
    <w:rsid w:val="002447F5"/>
    <w:rsid w:val="00245B19"/>
    <w:rsid w:val="00246069"/>
    <w:rsid w:val="00251477"/>
    <w:rsid w:val="00254A7C"/>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1949"/>
    <w:rsid w:val="002C4992"/>
    <w:rsid w:val="002C5546"/>
    <w:rsid w:val="002C5562"/>
    <w:rsid w:val="002C5EAF"/>
    <w:rsid w:val="002C6B00"/>
    <w:rsid w:val="002C7B77"/>
    <w:rsid w:val="002D16BF"/>
    <w:rsid w:val="002D3EB7"/>
    <w:rsid w:val="002D49D5"/>
    <w:rsid w:val="002D4D33"/>
    <w:rsid w:val="002D6CDC"/>
    <w:rsid w:val="002D70A5"/>
    <w:rsid w:val="002D7CFB"/>
    <w:rsid w:val="002E05DB"/>
    <w:rsid w:val="002E20CB"/>
    <w:rsid w:val="002E588F"/>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147E5"/>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1822"/>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11BD"/>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955"/>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068D"/>
    <w:rsid w:val="008C274A"/>
    <w:rsid w:val="008C2BE9"/>
    <w:rsid w:val="008C38CA"/>
    <w:rsid w:val="008C4CA4"/>
    <w:rsid w:val="008C609F"/>
    <w:rsid w:val="008C62F2"/>
    <w:rsid w:val="008C65C1"/>
    <w:rsid w:val="008D0285"/>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07F95"/>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3C5D"/>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2595"/>
    <w:rsid w:val="00B75BC4"/>
    <w:rsid w:val="00B762D3"/>
    <w:rsid w:val="00B7642C"/>
    <w:rsid w:val="00B7738B"/>
    <w:rsid w:val="00B77BE9"/>
    <w:rsid w:val="00B77DBC"/>
    <w:rsid w:val="00B80043"/>
    <w:rsid w:val="00B805AF"/>
    <w:rsid w:val="00B81A17"/>
    <w:rsid w:val="00B81BE5"/>
    <w:rsid w:val="00B83983"/>
    <w:rsid w:val="00B8613E"/>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81D"/>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02F9"/>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128C"/>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77793"/>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E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technet.microsoft.com/en-us/library/ff603511.aspx___.YzJ1Omxpb25icmlkZ2U6YzpvOjJmN2Y3MjE4N2Q5N2EwMGFmN2VjODQxODBlZDNlNzZiOjY6YWQ2YzplNzUyMDJmNGQyNDlhNTJmNDA2MDFiM2IxMjkxZjA5NWVhZDQ1ODhmNzk4MWFkNGJlNmQzMTQ0MmQzNzIzNmIy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download.microsoft.com/download/D/B/3/DB37B5D3-7796-4536-AC8D-8EFDB95CD52F/Team-Members-Grandfathering.pdf___.YzJ1Omxpb25icmlkZ2U6YzpvOjJmN2Y3MjE4N2Q5N2EwMGFmN2VjODQxODBlZDNlNzZiOjY6YmVlNDo4Njk5NTVkYjJkYWU4NmNjZTliYzRlZTYwMTY4N2MxMDM2OTZmYjA3OGRmODNhNjk1OTExMGU3ZDdlYWNiMGExOnA6VDp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___https://support.microsoft.com/gp/lifeselect___.YzJ1Omxpb25icmlkZ2U6YzpvOjJmN2Y3MjE4N2Q5N2EwMGFmN2VjODQxODBlZDNlNzZiOjY6MDQ5ZDpkNTNiMjJkYzBjODUxYTJmMTRkNDc1NTQ5N2JjZjBhNDMwZDlhNTUxNmQ3MzdjMWMyOWI1NGMxZWQ1YzUxZGQzOnA6VDp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protect.checkpoint.com/v2/___http://www.microsoft.com/piracy/___.YzJ1Omxpb25icmlkZ2U6YzpvOjJmN2Y3MjE4N2Q5N2EwMGFmN2VjODQxODBlZDNlNzZiOjY6YTEwNjpjNzQ0MjMzMTk0N2NjYjA5NzI1NGNhYjBjNmQwZThhNmYxYWU0MjIxMzUxOGUwNjgwNmUwNzdkMTZmNTk0OTM1OnA6VDp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D715-31BF-4FFC-9965-C0BB113E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DEC81-2FC8-4613-A732-FA3D697D3778}">
  <ds:schemaRefs>
    <ds:schemaRef ds:uri="http://schemas.microsoft.com/sharepoint/v3/contenttype/forms"/>
  </ds:schemaRefs>
</ds:datastoreItem>
</file>

<file path=customXml/itemProps3.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5242</Words>
  <Characters>29882</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2024-10-16T22:21:00Z</dcterms:created>
  <dcterms:modified xsi:type="dcterms:W3CDTF">2024-10-23T22:20:00Z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